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44"/>
      </w:tblGrid>
      <w:tr w:rsidR="000164E8" w:rsidRPr="00072BED" w:rsidTr="00DE76B1">
        <w:trPr>
          <w:trHeight w:val="550"/>
        </w:trPr>
        <w:tc>
          <w:tcPr>
            <w:tcW w:w="10144" w:type="dxa"/>
            <w:shd w:val="clear" w:color="auto" w:fill="D9D9D9" w:themeFill="background1" w:themeFillShade="D9"/>
          </w:tcPr>
          <w:p w:rsidR="00E00035" w:rsidRPr="00556F28" w:rsidRDefault="007A64AE" w:rsidP="007A64AE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1. </w:t>
            </w:r>
            <w:r w:rsidR="001900C7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1900C7" w:rsidRPr="00556F28">
              <w:rPr>
                <w:rFonts w:ascii="Arial" w:hAnsi="Arial" w:cs="Arial"/>
                <w:b/>
                <w:sz w:val="22"/>
                <w:szCs w:val="22"/>
              </w:rPr>
              <w:t xml:space="preserve"> рамках программы </w:t>
            </w:r>
            <w:r w:rsidR="001900C7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>ланиру</w:t>
            </w:r>
            <w:r w:rsidR="001900C7">
              <w:rPr>
                <w:rFonts w:ascii="Arial" w:hAnsi="Arial" w:cs="Arial"/>
                <w:b/>
                <w:sz w:val="22"/>
                <w:szCs w:val="22"/>
              </w:rPr>
              <w:t xml:space="preserve">ется проведение одного или нескольких 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>конкурс</w:t>
            </w:r>
            <w:r w:rsidR="001900C7">
              <w:rPr>
                <w:rFonts w:ascii="Arial" w:hAnsi="Arial" w:cs="Arial"/>
                <w:b/>
                <w:sz w:val="22"/>
                <w:szCs w:val="22"/>
              </w:rPr>
              <w:t>ов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заявок</w:t>
            </w:r>
            <w:r w:rsidR="00E00035" w:rsidRPr="00556F28">
              <w:rPr>
                <w:rFonts w:ascii="Arial" w:hAnsi="Arial" w:cs="Arial"/>
                <w:b/>
                <w:sz w:val="22"/>
                <w:szCs w:val="22"/>
              </w:rPr>
              <w:t xml:space="preserve">?   </w:t>
            </w:r>
          </w:p>
          <w:p w:rsidR="000164E8" w:rsidRPr="00DD28F7" w:rsidRDefault="000164E8" w:rsidP="0066282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64E8" w:rsidRPr="00072BED" w:rsidTr="00343802">
        <w:trPr>
          <w:trHeight w:val="742"/>
        </w:trPr>
        <w:tc>
          <w:tcPr>
            <w:tcW w:w="10144" w:type="dxa"/>
          </w:tcPr>
          <w:p w:rsidR="00343802" w:rsidRDefault="001900C7" w:rsidP="001900C7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Возможность о</w:t>
            </w:r>
            <w:r w:rsidR="0005608A" w:rsidRPr="00556F28">
              <w:rPr>
                <w:rFonts w:ascii="Arial" w:hAnsi="Arial" w:cs="Arial"/>
                <w:sz w:val="22"/>
                <w:szCs w:val="22"/>
              </w:rPr>
              <w:t>бъявлени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05608A" w:rsidRPr="00556F28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>следующих конкурс</w:t>
            </w:r>
            <w:r w:rsidR="006B6F6D" w:rsidRPr="00556F28">
              <w:rPr>
                <w:rFonts w:ascii="Arial" w:hAnsi="Arial" w:cs="Arial"/>
                <w:sz w:val="22"/>
                <w:szCs w:val="22"/>
              </w:rPr>
              <w:t>ов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 xml:space="preserve"> заявок </w:t>
            </w:r>
            <w:r>
              <w:rPr>
                <w:rFonts w:ascii="Arial" w:hAnsi="Arial" w:cs="Arial"/>
                <w:sz w:val="22"/>
                <w:szCs w:val="22"/>
              </w:rPr>
              <w:t xml:space="preserve">будет 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>завис</w:t>
            </w:r>
            <w:r>
              <w:rPr>
                <w:rFonts w:ascii="Arial" w:hAnsi="Arial" w:cs="Arial"/>
                <w:sz w:val="22"/>
                <w:szCs w:val="22"/>
              </w:rPr>
              <w:t>еть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 xml:space="preserve"> от о</w:t>
            </w:r>
            <w:r>
              <w:rPr>
                <w:rFonts w:ascii="Arial" w:hAnsi="Arial" w:cs="Arial"/>
                <w:sz w:val="22"/>
                <w:szCs w:val="22"/>
              </w:rPr>
              <w:t xml:space="preserve">бъема 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>средств</w:t>
            </w:r>
            <w:r w:rsidR="006B6F6D" w:rsidRPr="00556F28">
              <w:rPr>
                <w:rFonts w:ascii="Arial" w:hAnsi="Arial" w:cs="Arial"/>
                <w:sz w:val="22"/>
                <w:szCs w:val="22"/>
              </w:rPr>
              <w:t>,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 xml:space="preserve"> пред</w:t>
            </w:r>
            <w:r w:rsidR="0005608A" w:rsidRPr="00556F28">
              <w:rPr>
                <w:rFonts w:ascii="Arial" w:hAnsi="Arial" w:cs="Arial"/>
                <w:sz w:val="22"/>
                <w:szCs w:val="22"/>
              </w:rPr>
              <w:t>оставленных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 xml:space="preserve"> проектам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в рамках 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>первого конкурса</w:t>
            </w:r>
            <w:r w:rsidR="0005608A" w:rsidRPr="00556F28">
              <w:rPr>
                <w:rFonts w:ascii="Arial" w:hAnsi="Arial" w:cs="Arial"/>
                <w:sz w:val="22"/>
                <w:szCs w:val="22"/>
              </w:rPr>
              <w:t>,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 xml:space="preserve">наличия </w:t>
            </w:r>
            <w:r w:rsidR="00917EA7" w:rsidRPr="00556F28">
              <w:rPr>
                <w:rFonts w:ascii="Arial" w:hAnsi="Arial" w:cs="Arial"/>
                <w:sz w:val="22"/>
                <w:szCs w:val="22"/>
              </w:rPr>
              <w:t>средств, которые могут быть п</w:t>
            </w:r>
            <w:r w:rsidR="002C69F5">
              <w:rPr>
                <w:rFonts w:ascii="Arial" w:hAnsi="Arial" w:cs="Arial"/>
                <w:sz w:val="22"/>
                <w:szCs w:val="22"/>
              </w:rPr>
              <w:t>редназначены будущим конкурсам.</w:t>
            </w:r>
          </w:p>
          <w:p w:rsidR="007A64AE" w:rsidRPr="007A64AE" w:rsidRDefault="007A64AE" w:rsidP="001900C7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0164E8" w:rsidRPr="00072BED" w:rsidTr="00343802">
        <w:trPr>
          <w:trHeight w:val="412"/>
        </w:trPr>
        <w:tc>
          <w:tcPr>
            <w:tcW w:w="10144" w:type="dxa"/>
            <w:shd w:val="clear" w:color="auto" w:fill="D9D9D9" w:themeFill="background1" w:themeFillShade="D9"/>
          </w:tcPr>
          <w:p w:rsidR="000164E8" w:rsidRPr="00556F28" w:rsidRDefault="007A64AE" w:rsidP="007A64AE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64A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>В какой в</w:t>
            </w:r>
            <w:r w:rsidR="00B342E8" w:rsidRPr="00556F28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люте </w:t>
            </w:r>
            <w:r w:rsidR="00B342E8" w:rsidRPr="00556F28">
              <w:rPr>
                <w:rFonts w:ascii="Arial" w:hAnsi="Arial" w:cs="Arial"/>
                <w:b/>
                <w:sz w:val="22"/>
                <w:szCs w:val="22"/>
              </w:rPr>
              <w:t>производится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расчет проекта –</w:t>
            </w:r>
            <w:r w:rsidR="002C69F5" w:rsidRPr="002C6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2E8" w:rsidRPr="00556F28"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>евро или в на</w:t>
            </w:r>
            <w:r w:rsidR="00B342E8" w:rsidRPr="00556F28">
              <w:rPr>
                <w:rFonts w:ascii="Arial" w:hAnsi="Arial" w:cs="Arial"/>
                <w:b/>
                <w:sz w:val="22"/>
                <w:szCs w:val="22"/>
              </w:rPr>
              <w:t>ционально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="001900C7">
              <w:rPr>
                <w:rFonts w:ascii="Arial" w:hAnsi="Arial" w:cs="Arial"/>
                <w:b/>
                <w:sz w:val="22"/>
                <w:szCs w:val="22"/>
              </w:rPr>
              <w:t xml:space="preserve"> валюте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164E8" w:rsidRPr="00072BED" w:rsidTr="00987EBE">
        <w:trPr>
          <w:trHeight w:val="1005"/>
        </w:trPr>
        <w:tc>
          <w:tcPr>
            <w:tcW w:w="10144" w:type="dxa"/>
          </w:tcPr>
          <w:p w:rsidR="00840F62" w:rsidRDefault="00917EA7" w:rsidP="001900C7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56F28">
              <w:rPr>
                <w:rFonts w:ascii="Arial" w:hAnsi="Arial" w:cs="Arial"/>
                <w:sz w:val="22"/>
                <w:szCs w:val="22"/>
              </w:rPr>
              <w:t>Бюджет проекта составляется в евро</w:t>
            </w:r>
            <w:r w:rsidR="001900C7">
              <w:rPr>
                <w:rFonts w:ascii="Arial" w:hAnsi="Arial" w:cs="Arial"/>
                <w:sz w:val="22"/>
                <w:szCs w:val="22"/>
              </w:rPr>
              <w:t>;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аванс и 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финальный платеж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также 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производ</w:t>
            </w:r>
            <w:r w:rsidR="001900C7">
              <w:rPr>
                <w:rFonts w:ascii="Arial" w:hAnsi="Arial" w:cs="Arial"/>
                <w:sz w:val="22"/>
                <w:szCs w:val="22"/>
              </w:rPr>
              <w:t>я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тся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в евро. Однако расходы будут 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по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несены 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в национальной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валюте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,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9F5">
              <w:rPr>
                <w:rFonts w:ascii="Arial" w:hAnsi="Arial" w:cs="Arial"/>
                <w:sz w:val="22"/>
                <w:szCs w:val="22"/>
              </w:rPr>
              <w:t>и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для отчетов 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по</w:t>
            </w:r>
            <w:r w:rsidRPr="00556F28">
              <w:rPr>
                <w:rFonts w:ascii="Arial" w:hAnsi="Arial" w:cs="Arial"/>
                <w:sz w:val="22"/>
                <w:szCs w:val="22"/>
              </w:rPr>
              <w:t>требуется конвертация валют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использ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ованием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предос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т</w:t>
            </w:r>
            <w:r w:rsidRPr="00556F28">
              <w:rPr>
                <w:rFonts w:ascii="Arial" w:hAnsi="Arial" w:cs="Arial"/>
                <w:sz w:val="22"/>
                <w:szCs w:val="22"/>
              </w:rPr>
              <w:t>авляемы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х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Европейской комиссией курс</w:t>
            </w:r>
            <w:r w:rsidR="00B342E8" w:rsidRPr="00556F28">
              <w:rPr>
                <w:rFonts w:ascii="Arial" w:hAnsi="Arial" w:cs="Arial"/>
                <w:sz w:val="22"/>
                <w:szCs w:val="22"/>
              </w:rPr>
              <w:t>ов</w:t>
            </w:r>
            <w:r w:rsidRPr="00556F28">
              <w:rPr>
                <w:rFonts w:ascii="Arial" w:hAnsi="Arial" w:cs="Arial"/>
                <w:sz w:val="22"/>
                <w:szCs w:val="22"/>
              </w:rPr>
              <w:t xml:space="preserve"> обмена валют.</w:t>
            </w:r>
          </w:p>
          <w:p w:rsidR="007A64AE" w:rsidRPr="007A64AE" w:rsidRDefault="007A64AE" w:rsidP="001900C7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0164E8" w:rsidRPr="003666E9" w:rsidTr="00343802">
        <w:trPr>
          <w:trHeight w:val="849"/>
        </w:trPr>
        <w:tc>
          <w:tcPr>
            <w:tcW w:w="10144" w:type="dxa"/>
            <w:shd w:val="clear" w:color="auto" w:fill="D9D9D9" w:themeFill="background1" w:themeFillShade="D9"/>
          </w:tcPr>
          <w:p w:rsidR="009F545D" w:rsidRPr="00556F28" w:rsidRDefault="007A64AE" w:rsidP="007A64AE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64A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Должны ли учреждения 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обладать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правом собственности на землю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где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предполагается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строительств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о инфраструктурного объекта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? Возможно ли 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обладать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другими видами прав</w:t>
            </w:r>
            <w:r w:rsidR="00EB1308" w:rsidRPr="00556F2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напр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имер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5456" w:rsidRPr="00556F28">
              <w:rPr>
                <w:rFonts w:ascii="Arial" w:hAnsi="Arial" w:cs="Arial"/>
                <w:b/>
                <w:sz w:val="22"/>
                <w:szCs w:val="22"/>
              </w:rPr>
              <w:t>рентой</w:t>
            </w:r>
            <w:r w:rsidR="00917EA7" w:rsidRPr="00556F2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164E8" w:rsidRPr="00072BED" w:rsidTr="00A404A7">
        <w:trPr>
          <w:trHeight w:val="801"/>
        </w:trPr>
        <w:tc>
          <w:tcPr>
            <w:tcW w:w="10144" w:type="dxa"/>
          </w:tcPr>
          <w:p w:rsidR="00355B2E" w:rsidRPr="00556F28" w:rsidRDefault="00355B2E" w:rsidP="00355B2E">
            <w:p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Одн</w:t>
            </w:r>
            <w:r w:rsidR="00EB1308" w:rsidRPr="00556F28">
              <w:rPr>
                <w:rFonts w:ascii="Arial" w:hAnsi="Arial" w:cs="Arial"/>
              </w:rPr>
              <w:t>и</w:t>
            </w:r>
            <w:r w:rsidRPr="00556F28">
              <w:rPr>
                <w:rFonts w:ascii="Arial" w:hAnsi="Arial" w:cs="Arial"/>
              </w:rPr>
              <w:t>м из приложений</w:t>
            </w:r>
            <w:r w:rsidR="00EB1308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которое надо </w:t>
            </w:r>
            <w:r w:rsidR="00857A78">
              <w:rPr>
                <w:rFonts w:ascii="Arial" w:hAnsi="Arial" w:cs="Arial"/>
              </w:rPr>
              <w:t>предоставить с</w:t>
            </w:r>
            <w:r w:rsidRPr="00556F28">
              <w:rPr>
                <w:rFonts w:ascii="Arial" w:hAnsi="Arial" w:cs="Arial"/>
              </w:rPr>
              <w:t xml:space="preserve"> форм</w:t>
            </w:r>
            <w:r w:rsidR="00857A78">
              <w:rPr>
                <w:rFonts w:ascii="Arial" w:hAnsi="Arial" w:cs="Arial"/>
              </w:rPr>
              <w:t>ой</w:t>
            </w:r>
            <w:r w:rsidRPr="00556F28">
              <w:rPr>
                <w:rFonts w:ascii="Arial" w:hAnsi="Arial" w:cs="Arial"/>
              </w:rPr>
              <w:t xml:space="preserve"> заявки</w:t>
            </w:r>
            <w:r w:rsidR="00EB1308" w:rsidRPr="00556F28">
              <w:rPr>
                <w:rFonts w:ascii="Arial" w:hAnsi="Arial" w:cs="Arial"/>
              </w:rPr>
              <w:t xml:space="preserve"> в случае инвестиционных и инфр</w:t>
            </w:r>
            <w:r w:rsidRPr="00556F28">
              <w:rPr>
                <w:rFonts w:ascii="Arial" w:hAnsi="Arial" w:cs="Arial"/>
              </w:rPr>
              <w:t>аструктурных проектов</w:t>
            </w:r>
            <w:r w:rsidR="00EB1308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является Приложение А10 «Декларация ведущего бенефициара/бенефициара о праве собственности на землю/недвижимость, предлагаемые для строительства/оснащения». </w:t>
            </w:r>
            <w:r w:rsidR="00857A78">
              <w:rPr>
                <w:rFonts w:ascii="Arial" w:hAnsi="Arial" w:cs="Arial"/>
              </w:rPr>
              <w:t xml:space="preserve">Приложение </w:t>
            </w:r>
            <w:r w:rsidRPr="00556F28">
              <w:rPr>
                <w:rFonts w:ascii="Arial" w:hAnsi="Arial" w:cs="Arial"/>
              </w:rPr>
              <w:t xml:space="preserve">будет автоматически </w:t>
            </w:r>
            <w:r w:rsidR="00857A78">
              <w:rPr>
                <w:rFonts w:ascii="Arial" w:hAnsi="Arial" w:cs="Arial"/>
              </w:rPr>
              <w:t xml:space="preserve">генерироваться электронной системой. Оно должно быть </w:t>
            </w:r>
            <w:r w:rsidRPr="00556F28">
              <w:rPr>
                <w:rFonts w:ascii="Arial" w:hAnsi="Arial" w:cs="Arial"/>
              </w:rPr>
              <w:t>заполн</w:t>
            </w:r>
            <w:r w:rsidR="00857A78">
              <w:rPr>
                <w:rFonts w:ascii="Arial" w:hAnsi="Arial" w:cs="Arial"/>
              </w:rPr>
              <w:t>ено</w:t>
            </w:r>
            <w:r w:rsidRPr="00556F28">
              <w:rPr>
                <w:rFonts w:ascii="Arial" w:hAnsi="Arial" w:cs="Arial"/>
              </w:rPr>
              <w:t>, распечата</w:t>
            </w:r>
            <w:r w:rsidR="00857A78">
              <w:rPr>
                <w:rFonts w:ascii="Arial" w:hAnsi="Arial" w:cs="Arial"/>
              </w:rPr>
              <w:t>но</w:t>
            </w:r>
            <w:r w:rsidRPr="00556F28">
              <w:rPr>
                <w:rFonts w:ascii="Arial" w:hAnsi="Arial" w:cs="Arial"/>
              </w:rPr>
              <w:t>, подпис</w:t>
            </w:r>
            <w:r w:rsidR="00857A78">
              <w:rPr>
                <w:rFonts w:ascii="Arial" w:hAnsi="Arial" w:cs="Arial"/>
              </w:rPr>
              <w:t>ано</w:t>
            </w:r>
            <w:r w:rsidRPr="00556F28">
              <w:rPr>
                <w:rFonts w:ascii="Arial" w:hAnsi="Arial" w:cs="Arial"/>
              </w:rPr>
              <w:t xml:space="preserve"> и прикреп</w:t>
            </w:r>
            <w:r w:rsidR="00857A78">
              <w:rPr>
                <w:rFonts w:ascii="Arial" w:hAnsi="Arial" w:cs="Arial"/>
              </w:rPr>
              <w:t xml:space="preserve">лено в отсканированной версии </w:t>
            </w:r>
            <w:r w:rsidRPr="00556F28">
              <w:rPr>
                <w:rFonts w:ascii="Arial" w:hAnsi="Arial" w:cs="Arial"/>
              </w:rPr>
              <w:t xml:space="preserve">к форме заявки. </w:t>
            </w:r>
          </w:p>
          <w:p w:rsidR="000164E8" w:rsidRDefault="00355B2E" w:rsidP="00857A78">
            <w:pPr>
              <w:jc w:val="both"/>
              <w:rPr>
                <w:rFonts w:ascii="Arial" w:hAnsi="Arial" w:cs="Arial"/>
                <w:lang w:val="pl-PL"/>
              </w:rPr>
            </w:pPr>
            <w:r w:rsidRPr="00556F28">
              <w:rPr>
                <w:rFonts w:ascii="Arial" w:hAnsi="Arial" w:cs="Arial"/>
              </w:rPr>
              <w:t xml:space="preserve">Предоставляя </w:t>
            </w:r>
            <w:r w:rsidR="00857A78">
              <w:rPr>
                <w:rFonts w:ascii="Arial" w:hAnsi="Arial" w:cs="Arial"/>
              </w:rPr>
              <w:t xml:space="preserve">данное </w:t>
            </w:r>
            <w:r w:rsidRPr="00556F28">
              <w:rPr>
                <w:rFonts w:ascii="Arial" w:hAnsi="Arial" w:cs="Arial"/>
              </w:rPr>
              <w:t>приложение, бенефициар заявляет</w:t>
            </w:r>
            <w:r w:rsidR="00771F0B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что имеет право на распоряжение землей/объектом недвижимого имущества для реализации проекта</w:t>
            </w:r>
            <w:r w:rsidR="00857A78">
              <w:rPr>
                <w:rFonts w:ascii="Arial" w:hAnsi="Arial" w:cs="Arial"/>
              </w:rPr>
              <w:t xml:space="preserve"> и также </w:t>
            </w:r>
            <w:r w:rsidR="00771F0B" w:rsidRPr="00556F28">
              <w:rPr>
                <w:rFonts w:ascii="Arial" w:hAnsi="Arial" w:cs="Arial"/>
              </w:rPr>
              <w:t>декларирует, на каком о</w:t>
            </w:r>
            <w:r w:rsidRPr="00556F28">
              <w:rPr>
                <w:rFonts w:ascii="Arial" w:hAnsi="Arial" w:cs="Arial"/>
              </w:rPr>
              <w:t>сновании</w:t>
            </w:r>
            <w:r w:rsidR="002C69F5">
              <w:rPr>
                <w:rFonts w:ascii="Arial" w:hAnsi="Arial" w:cs="Arial"/>
              </w:rPr>
              <w:t xml:space="preserve"> он имеет</w:t>
            </w:r>
            <w:r w:rsidR="00771F0B" w:rsidRPr="00556F28">
              <w:rPr>
                <w:rFonts w:ascii="Arial" w:hAnsi="Arial" w:cs="Arial"/>
              </w:rPr>
              <w:t xml:space="preserve"> право</w:t>
            </w:r>
            <w:r w:rsidRPr="00556F28">
              <w:rPr>
                <w:rFonts w:ascii="Arial" w:hAnsi="Arial" w:cs="Arial"/>
              </w:rPr>
              <w:t xml:space="preserve"> распоряж</w:t>
            </w:r>
            <w:r w:rsidR="00771F0B" w:rsidRPr="00556F28">
              <w:rPr>
                <w:rFonts w:ascii="Arial" w:hAnsi="Arial" w:cs="Arial"/>
              </w:rPr>
              <w:t>аться</w:t>
            </w:r>
            <w:r w:rsidRPr="00556F28">
              <w:rPr>
                <w:rFonts w:ascii="Arial" w:hAnsi="Arial" w:cs="Arial"/>
              </w:rPr>
              <w:t xml:space="preserve"> землей/объектом недвижимого имущества </w:t>
            </w:r>
            <w:r w:rsidR="00857A78">
              <w:rPr>
                <w:rFonts w:ascii="Arial" w:hAnsi="Arial" w:cs="Arial"/>
              </w:rPr>
              <w:t>(</w:t>
            </w:r>
            <w:r w:rsidRPr="00556F28">
              <w:rPr>
                <w:rFonts w:ascii="Arial" w:hAnsi="Arial" w:cs="Arial"/>
              </w:rPr>
              <w:t>собственность/совместная собственность/пожизненное пользование/постоянное у</w:t>
            </w:r>
            <w:r w:rsidR="00771F0B" w:rsidRPr="00556F28">
              <w:rPr>
                <w:rFonts w:ascii="Arial" w:hAnsi="Arial" w:cs="Arial"/>
              </w:rPr>
              <w:t>правление/</w:t>
            </w:r>
            <w:r w:rsidR="00857A78">
              <w:rPr>
                <w:rFonts w:ascii="Arial" w:hAnsi="Arial" w:cs="Arial"/>
              </w:rPr>
              <w:t xml:space="preserve"> </w:t>
            </w:r>
            <w:r w:rsidR="00771F0B" w:rsidRPr="00556F28">
              <w:rPr>
                <w:rFonts w:ascii="Arial" w:hAnsi="Arial" w:cs="Arial"/>
              </w:rPr>
              <w:t>иное, например</w:t>
            </w:r>
            <w:r w:rsidR="00857A78">
              <w:rPr>
                <w:rFonts w:ascii="Arial" w:hAnsi="Arial" w:cs="Arial"/>
              </w:rPr>
              <w:t>,</w:t>
            </w:r>
            <w:r w:rsidR="00771F0B" w:rsidRPr="00556F28">
              <w:rPr>
                <w:rFonts w:ascii="Arial" w:hAnsi="Arial" w:cs="Arial"/>
              </w:rPr>
              <w:t xml:space="preserve"> рента</w:t>
            </w:r>
            <w:r w:rsidR="00857A78">
              <w:rPr>
                <w:rFonts w:ascii="Arial" w:hAnsi="Arial" w:cs="Arial"/>
              </w:rPr>
              <w:t>)</w:t>
            </w:r>
            <w:r w:rsidRPr="00556F28">
              <w:rPr>
                <w:rFonts w:ascii="Arial" w:hAnsi="Arial" w:cs="Arial"/>
              </w:rPr>
              <w:t>. Кроме того</w:t>
            </w:r>
            <w:r w:rsidR="005D6AFB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бенефициар декларирует, что на соответствующую землю/объект недвижимого имущества не наложены никакие обременения, они не являются объектом текущих судебных разбирательств</w:t>
            </w:r>
            <w:r w:rsidR="00857A78">
              <w:rPr>
                <w:rFonts w:ascii="Arial" w:hAnsi="Arial" w:cs="Arial"/>
              </w:rPr>
              <w:t xml:space="preserve"> и</w:t>
            </w:r>
            <w:r w:rsidRPr="00556F28">
              <w:rPr>
                <w:rFonts w:ascii="Arial" w:hAnsi="Arial" w:cs="Arial"/>
              </w:rPr>
              <w:t xml:space="preserve"> не являются объектом чьих-то требований согласно соответствующему нац</w:t>
            </w:r>
            <w:r w:rsidR="002C69F5">
              <w:rPr>
                <w:rFonts w:ascii="Arial" w:hAnsi="Arial" w:cs="Arial"/>
              </w:rPr>
              <w:t>иональному законодательству.</w:t>
            </w:r>
          </w:p>
          <w:p w:rsidR="007A64AE" w:rsidRPr="007A64AE" w:rsidRDefault="007A64AE" w:rsidP="00857A7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404A7" w:rsidRPr="00072BED" w:rsidTr="00A404A7">
        <w:trPr>
          <w:trHeight w:val="544"/>
        </w:trPr>
        <w:tc>
          <w:tcPr>
            <w:tcW w:w="10144" w:type="dxa"/>
            <w:shd w:val="clear" w:color="auto" w:fill="D9D9D9" w:themeFill="background1" w:themeFillShade="D9"/>
          </w:tcPr>
          <w:p w:rsidR="007A64AE" w:rsidRPr="007A64AE" w:rsidRDefault="007A64AE" w:rsidP="007A64A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7A64AE">
              <w:rPr>
                <w:rFonts w:ascii="Arial" w:hAnsi="Arial" w:cs="Arial"/>
                <w:b/>
              </w:rPr>
              <w:t xml:space="preserve">4. </w:t>
            </w:r>
            <w:r w:rsidR="008021E0" w:rsidRPr="007A64AE">
              <w:rPr>
                <w:rFonts w:ascii="Arial" w:hAnsi="Arial" w:cs="Arial"/>
                <w:b/>
              </w:rPr>
              <w:t>В каких случаях</w:t>
            </w:r>
            <w:r w:rsidR="00E20DD9" w:rsidRPr="007A64AE">
              <w:rPr>
                <w:rFonts w:ascii="Arial" w:hAnsi="Arial" w:cs="Arial"/>
                <w:b/>
              </w:rPr>
              <w:t xml:space="preserve"> требуется предоставить Приложение А9? Если разрешение на строительство уже оформлено, надо </w:t>
            </w:r>
            <w:r w:rsidR="008021E0" w:rsidRPr="007A64AE">
              <w:rPr>
                <w:rFonts w:ascii="Arial" w:hAnsi="Arial" w:cs="Arial"/>
                <w:b/>
              </w:rPr>
              <w:t>ли предоставлять</w:t>
            </w:r>
            <w:r w:rsidR="00E20DD9" w:rsidRPr="007A64AE">
              <w:rPr>
                <w:rFonts w:ascii="Arial" w:hAnsi="Arial" w:cs="Arial"/>
                <w:b/>
              </w:rPr>
              <w:t xml:space="preserve"> это приложение?</w:t>
            </w:r>
            <w:r>
              <w:rPr>
                <w:rFonts w:ascii="Arial" w:hAnsi="Arial" w:cs="Arial"/>
                <w:b/>
                <w:lang w:val="pl-PL"/>
              </w:rPr>
              <w:br/>
            </w:r>
          </w:p>
        </w:tc>
      </w:tr>
      <w:tr w:rsidR="00A404A7" w:rsidRPr="00072BED" w:rsidTr="009B76ED">
        <w:trPr>
          <w:trHeight w:val="426"/>
        </w:trPr>
        <w:tc>
          <w:tcPr>
            <w:tcW w:w="10144" w:type="dxa"/>
          </w:tcPr>
          <w:p w:rsidR="00FB2E0E" w:rsidRDefault="00E20DD9" w:rsidP="00857A78">
            <w:pPr>
              <w:ind w:left="34"/>
              <w:jc w:val="both"/>
              <w:rPr>
                <w:rFonts w:ascii="Arial" w:eastAsia="Calibri" w:hAnsi="Arial" w:cs="Arial"/>
                <w:lang w:val="pl-PL"/>
              </w:rPr>
            </w:pPr>
            <w:r w:rsidRPr="00556F28">
              <w:rPr>
                <w:rFonts w:ascii="Arial" w:eastAsia="Calibri" w:hAnsi="Arial" w:cs="Arial"/>
              </w:rPr>
              <w:t>Приложение А9 «Декларация польского</w:t>
            </w:r>
            <w:r w:rsidR="00F92869" w:rsidRPr="00556F28">
              <w:rPr>
                <w:rFonts w:ascii="Arial" w:eastAsia="Calibri" w:hAnsi="Arial" w:cs="Arial"/>
              </w:rPr>
              <w:t>/российского</w:t>
            </w:r>
            <w:r w:rsidRPr="00556F28">
              <w:rPr>
                <w:rFonts w:ascii="Arial" w:eastAsia="Calibri" w:hAnsi="Arial" w:cs="Arial"/>
              </w:rPr>
              <w:t xml:space="preserve"> ведущего бенефициара/бенефициара о готовности разрешения на строительство или его эквивалента</w:t>
            </w:r>
            <w:r w:rsidR="00F92869" w:rsidRPr="00556F28">
              <w:rPr>
                <w:rFonts w:ascii="Arial" w:eastAsia="Calibri" w:hAnsi="Arial" w:cs="Arial"/>
              </w:rPr>
              <w:t>,</w:t>
            </w:r>
            <w:r w:rsidRPr="00556F28">
              <w:rPr>
                <w:rFonts w:ascii="Arial" w:eastAsia="Calibri" w:hAnsi="Arial" w:cs="Arial"/>
              </w:rPr>
              <w:t xml:space="preserve"> необходимого для реализации проекта» </w:t>
            </w:r>
            <w:r w:rsidR="002C69F5">
              <w:rPr>
                <w:rFonts w:ascii="Arial" w:eastAsia="Calibri" w:hAnsi="Arial" w:cs="Arial"/>
              </w:rPr>
              <w:t>д</w:t>
            </w:r>
            <w:r w:rsidR="00F92869" w:rsidRPr="00556F28">
              <w:rPr>
                <w:rFonts w:ascii="Arial" w:eastAsia="Calibri" w:hAnsi="Arial" w:cs="Arial"/>
              </w:rPr>
              <w:t>олжно быть</w:t>
            </w:r>
            <w:r w:rsidRPr="00556F28">
              <w:rPr>
                <w:rFonts w:ascii="Arial" w:eastAsia="Calibri" w:hAnsi="Arial" w:cs="Arial"/>
              </w:rPr>
              <w:t xml:space="preserve"> заполн</w:t>
            </w:r>
            <w:r w:rsidR="00F92869" w:rsidRPr="00556F28">
              <w:rPr>
                <w:rFonts w:ascii="Arial" w:eastAsia="Calibri" w:hAnsi="Arial" w:cs="Arial"/>
              </w:rPr>
              <w:t>ено</w:t>
            </w:r>
            <w:r w:rsidRPr="00556F28">
              <w:rPr>
                <w:rFonts w:ascii="Arial" w:eastAsia="Calibri" w:hAnsi="Arial" w:cs="Arial"/>
              </w:rPr>
              <w:t xml:space="preserve"> всеми бенефициарам</w:t>
            </w:r>
            <w:r w:rsidR="00F92869" w:rsidRPr="00556F28">
              <w:rPr>
                <w:rFonts w:ascii="Arial" w:eastAsia="Calibri" w:hAnsi="Arial" w:cs="Arial"/>
              </w:rPr>
              <w:t>и проекта. Согласно информации, раз</w:t>
            </w:r>
            <w:r w:rsidRPr="00556F28">
              <w:rPr>
                <w:rFonts w:ascii="Arial" w:eastAsia="Calibri" w:hAnsi="Arial" w:cs="Arial"/>
              </w:rPr>
              <w:t>мещенной в этом приложении</w:t>
            </w:r>
            <w:r w:rsidR="00F92869" w:rsidRPr="00556F28">
              <w:rPr>
                <w:rFonts w:ascii="Arial" w:eastAsia="Calibri" w:hAnsi="Arial" w:cs="Arial"/>
              </w:rPr>
              <w:t>,</w:t>
            </w:r>
            <w:r w:rsidRPr="00556F28">
              <w:rPr>
                <w:rFonts w:ascii="Arial" w:eastAsia="Calibri" w:hAnsi="Arial" w:cs="Arial"/>
              </w:rPr>
              <w:t xml:space="preserve"> бенефициар заявляет о необходимости (или</w:t>
            </w:r>
            <w:r w:rsidR="00F92869" w:rsidRPr="00556F28">
              <w:rPr>
                <w:rFonts w:ascii="Arial" w:eastAsia="Calibri" w:hAnsi="Arial" w:cs="Arial"/>
              </w:rPr>
              <w:t xml:space="preserve"> ее</w:t>
            </w:r>
            <w:r w:rsidRPr="00556F28">
              <w:rPr>
                <w:rFonts w:ascii="Arial" w:eastAsia="Calibri" w:hAnsi="Arial" w:cs="Arial"/>
              </w:rPr>
              <w:t xml:space="preserve"> </w:t>
            </w:r>
            <w:r w:rsidR="00F92869" w:rsidRPr="00556F28">
              <w:rPr>
                <w:rFonts w:ascii="Arial" w:eastAsia="Calibri" w:hAnsi="Arial" w:cs="Arial"/>
              </w:rPr>
              <w:t>отсутствии</w:t>
            </w:r>
            <w:r w:rsidRPr="00556F28">
              <w:rPr>
                <w:rFonts w:ascii="Arial" w:eastAsia="Calibri" w:hAnsi="Arial" w:cs="Arial"/>
              </w:rPr>
              <w:t xml:space="preserve">) предоставить разрешение на строительство или его эквивалент для данной инвестиции. Если инвестиция, согласно законодательству страны, нуждается в таком документе, </w:t>
            </w:r>
            <w:r w:rsidR="00F92869" w:rsidRPr="00556F28">
              <w:rPr>
                <w:rFonts w:ascii="Arial" w:eastAsia="Calibri" w:hAnsi="Arial" w:cs="Arial"/>
              </w:rPr>
              <w:t>необходимо</w:t>
            </w:r>
            <w:r w:rsidRPr="00556F28">
              <w:rPr>
                <w:rFonts w:ascii="Arial" w:eastAsia="Calibri" w:hAnsi="Arial" w:cs="Arial"/>
              </w:rPr>
              <w:t xml:space="preserve"> его прикрепить или (если</w:t>
            </w:r>
            <w:r w:rsidR="00F92869" w:rsidRPr="00556F28">
              <w:rPr>
                <w:rFonts w:ascii="Arial" w:eastAsia="Calibri" w:hAnsi="Arial" w:cs="Arial"/>
              </w:rPr>
              <w:t xml:space="preserve"> оно</w:t>
            </w:r>
            <w:r w:rsidRPr="00556F28">
              <w:rPr>
                <w:rFonts w:ascii="Arial" w:eastAsia="Calibri" w:hAnsi="Arial" w:cs="Arial"/>
              </w:rPr>
              <w:t xml:space="preserve"> еще не выдан</w:t>
            </w:r>
            <w:r w:rsidR="00F92869" w:rsidRPr="00556F28">
              <w:rPr>
                <w:rFonts w:ascii="Arial" w:eastAsia="Calibri" w:hAnsi="Arial" w:cs="Arial"/>
              </w:rPr>
              <w:t>о</w:t>
            </w:r>
            <w:r w:rsidRPr="00556F28">
              <w:rPr>
                <w:rFonts w:ascii="Arial" w:eastAsia="Calibri" w:hAnsi="Arial" w:cs="Arial"/>
              </w:rPr>
              <w:t>) предоставить его не позднее трех месяцев о</w:t>
            </w:r>
            <w:r w:rsidR="002C69F5">
              <w:rPr>
                <w:rFonts w:ascii="Arial" w:eastAsia="Calibri" w:hAnsi="Arial" w:cs="Arial"/>
              </w:rPr>
              <w:t xml:space="preserve">т решения </w:t>
            </w:r>
            <w:r w:rsidR="00857A78">
              <w:rPr>
                <w:rFonts w:ascii="Arial" w:eastAsia="Calibri" w:hAnsi="Arial" w:cs="Arial"/>
              </w:rPr>
              <w:t>о</w:t>
            </w:r>
            <w:r w:rsidR="002C69F5">
              <w:rPr>
                <w:rFonts w:ascii="Arial" w:eastAsia="Calibri" w:hAnsi="Arial" w:cs="Arial"/>
              </w:rPr>
              <w:t xml:space="preserve"> выделени</w:t>
            </w:r>
            <w:r w:rsidR="00857A78">
              <w:rPr>
                <w:rFonts w:ascii="Arial" w:eastAsia="Calibri" w:hAnsi="Arial" w:cs="Arial"/>
              </w:rPr>
              <w:t>и</w:t>
            </w:r>
            <w:r w:rsidR="002C69F5">
              <w:rPr>
                <w:rFonts w:ascii="Arial" w:eastAsia="Calibri" w:hAnsi="Arial" w:cs="Arial"/>
              </w:rPr>
              <w:t xml:space="preserve"> гранта.</w:t>
            </w:r>
          </w:p>
          <w:p w:rsidR="007A64AE" w:rsidRPr="007A64AE" w:rsidRDefault="007A64AE" w:rsidP="00857A78">
            <w:pPr>
              <w:ind w:left="34"/>
              <w:jc w:val="both"/>
              <w:rPr>
                <w:rFonts w:ascii="Arial" w:eastAsia="Calibri" w:hAnsi="Arial" w:cs="Arial"/>
                <w:lang w:val="pl-PL"/>
              </w:rPr>
            </w:pPr>
          </w:p>
        </w:tc>
      </w:tr>
      <w:tr w:rsidR="00A404A7" w:rsidRPr="00072BED" w:rsidTr="00343802">
        <w:trPr>
          <w:trHeight w:val="554"/>
        </w:trPr>
        <w:tc>
          <w:tcPr>
            <w:tcW w:w="10144" w:type="dxa"/>
            <w:shd w:val="clear" w:color="auto" w:fill="D9D9D9" w:themeFill="background1" w:themeFillShade="D9"/>
          </w:tcPr>
          <w:p w:rsidR="009068D4" w:rsidRDefault="007A64AE" w:rsidP="007A64A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7A64AE">
              <w:rPr>
                <w:rFonts w:ascii="Arial" w:hAnsi="Arial" w:cs="Arial"/>
                <w:b/>
              </w:rPr>
              <w:t xml:space="preserve">5. </w:t>
            </w:r>
            <w:r w:rsidR="00E20DD9" w:rsidRPr="007A64AE">
              <w:rPr>
                <w:rFonts w:ascii="Arial" w:hAnsi="Arial" w:cs="Arial"/>
                <w:b/>
              </w:rPr>
              <w:t xml:space="preserve">Возможно ли </w:t>
            </w:r>
            <w:r w:rsidR="00C82944" w:rsidRPr="007A64AE">
              <w:rPr>
                <w:rFonts w:ascii="Arial" w:hAnsi="Arial" w:cs="Arial"/>
                <w:b/>
              </w:rPr>
              <w:t>разработать</w:t>
            </w:r>
            <w:r w:rsidR="00E20DD9" w:rsidRPr="007A64AE">
              <w:rPr>
                <w:rFonts w:ascii="Arial" w:hAnsi="Arial" w:cs="Arial"/>
                <w:b/>
              </w:rPr>
              <w:t xml:space="preserve"> техническую документацию для инфраструктурного об</w:t>
            </w:r>
            <w:r w:rsidR="00C82944" w:rsidRPr="007A64AE">
              <w:rPr>
                <w:rFonts w:ascii="Arial" w:hAnsi="Arial" w:cs="Arial"/>
                <w:b/>
              </w:rPr>
              <w:t>ъ</w:t>
            </w:r>
            <w:r w:rsidR="00E20DD9" w:rsidRPr="007A64AE">
              <w:rPr>
                <w:rFonts w:ascii="Arial" w:hAnsi="Arial" w:cs="Arial"/>
                <w:b/>
              </w:rPr>
              <w:t xml:space="preserve">екта и затем построить </w:t>
            </w:r>
            <w:r w:rsidR="00857A78" w:rsidRPr="007A64AE">
              <w:rPr>
                <w:rFonts w:ascii="Arial" w:hAnsi="Arial" w:cs="Arial"/>
                <w:b/>
              </w:rPr>
              <w:t>данный объект</w:t>
            </w:r>
            <w:r w:rsidR="00E20DD9" w:rsidRPr="007A64AE">
              <w:rPr>
                <w:rFonts w:ascii="Arial" w:hAnsi="Arial" w:cs="Arial"/>
                <w:b/>
              </w:rPr>
              <w:t xml:space="preserve"> в рамках</w:t>
            </w:r>
            <w:r w:rsidR="00C82944" w:rsidRPr="007A64AE">
              <w:rPr>
                <w:rFonts w:ascii="Arial" w:hAnsi="Arial" w:cs="Arial"/>
                <w:b/>
              </w:rPr>
              <w:t xml:space="preserve"> одного и того же</w:t>
            </w:r>
            <w:r w:rsidR="00E20DD9" w:rsidRPr="007A64AE">
              <w:rPr>
                <w:rFonts w:ascii="Arial" w:hAnsi="Arial" w:cs="Arial"/>
                <w:b/>
              </w:rPr>
              <w:t xml:space="preserve"> проекта?</w:t>
            </w:r>
          </w:p>
          <w:p w:rsidR="007A64AE" w:rsidRPr="007A64AE" w:rsidRDefault="007A64AE" w:rsidP="007A64A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A404A7" w:rsidRPr="00072BED" w:rsidTr="003666E9">
        <w:trPr>
          <w:trHeight w:val="2393"/>
        </w:trPr>
        <w:tc>
          <w:tcPr>
            <w:tcW w:w="10144" w:type="dxa"/>
          </w:tcPr>
          <w:p w:rsidR="00A35A54" w:rsidRDefault="00E20DD9" w:rsidP="00857A78">
            <w:pPr>
              <w:jc w:val="both"/>
              <w:rPr>
                <w:rFonts w:ascii="Arial" w:hAnsi="Arial" w:cs="Arial"/>
                <w:lang w:val="pl-PL"/>
              </w:rPr>
            </w:pPr>
            <w:r w:rsidRPr="00556F28">
              <w:rPr>
                <w:rFonts w:ascii="Arial" w:hAnsi="Arial" w:cs="Arial"/>
              </w:rPr>
              <w:lastRenderedPageBreak/>
              <w:t xml:space="preserve">В </w:t>
            </w:r>
            <w:r w:rsidR="002B4BC1" w:rsidRPr="00556F28">
              <w:rPr>
                <w:rFonts w:ascii="Arial" w:hAnsi="Arial" w:cs="Arial"/>
              </w:rPr>
              <w:t>рамках одного проекта является невозможным</w:t>
            </w:r>
            <w:r w:rsidRPr="00556F28">
              <w:rPr>
                <w:rFonts w:ascii="Arial" w:hAnsi="Arial" w:cs="Arial"/>
              </w:rPr>
              <w:t xml:space="preserve"> </w:t>
            </w:r>
            <w:r w:rsidR="002B4BC1" w:rsidRPr="00556F28">
              <w:rPr>
                <w:rFonts w:ascii="Arial" w:hAnsi="Arial" w:cs="Arial"/>
              </w:rPr>
              <w:t>разработать</w:t>
            </w:r>
            <w:r w:rsidRPr="00556F28">
              <w:rPr>
                <w:rFonts w:ascii="Arial" w:hAnsi="Arial" w:cs="Arial"/>
              </w:rPr>
              <w:t xml:space="preserve"> техническую документацию</w:t>
            </w:r>
            <w:r w:rsidR="002B4BC1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</w:t>
            </w:r>
            <w:r w:rsidR="002B4BC1" w:rsidRPr="00556F28">
              <w:rPr>
                <w:rFonts w:ascii="Arial" w:hAnsi="Arial" w:cs="Arial"/>
              </w:rPr>
              <w:t xml:space="preserve">а затем </w:t>
            </w:r>
            <w:r w:rsidR="002C69F5">
              <w:rPr>
                <w:rFonts w:ascii="Arial" w:hAnsi="Arial" w:cs="Arial"/>
              </w:rPr>
              <w:t>осуществить капиталовложения</w:t>
            </w:r>
            <w:r w:rsidR="002B4BC1" w:rsidRPr="00556F28">
              <w:rPr>
                <w:rFonts w:ascii="Arial" w:hAnsi="Arial" w:cs="Arial"/>
              </w:rPr>
              <w:t xml:space="preserve"> </w:t>
            </w:r>
            <w:r w:rsidRPr="00556F28">
              <w:rPr>
                <w:rFonts w:ascii="Arial" w:hAnsi="Arial" w:cs="Arial"/>
              </w:rPr>
              <w:t xml:space="preserve">для </w:t>
            </w:r>
            <w:r w:rsidR="002C69F5">
              <w:rPr>
                <w:rFonts w:ascii="Arial" w:hAnsi="Arial" w:cs="Arial"/>
              </w:rPr>
              <w:t>одного и того же</w:t>
            </w:r>
            <w:r w:rsidRPr="00556F28">
              <w:rPr>
                <w:rFonts w:ascii="Arial" w:hAnsi="Arial" w:cs="Arial"/>
              </w:rPr>
              <w:t xml:space="preserve"> инфраструктурн</w:t>
            </w:r>
            <w:r w:rsidR="002B4BC1" w:rsidRPr="00556F28">
              <w:rPr>
                <w:rFonts w:ascii="Arial" w:hAnsi="Arial" w:cs="Arial"/>
              </w:rPr>
              <w:t>о</w:t>
            </w:r>
            <w:r w:rsidRPr="00556F28">
              <w:rPr>
                <w:rFonts w:ascii="Arial" w:hAnsi="Arial" w:cs="Arial"/>
              </w:rPr>
              <w:t>го об</w:t>
            </w:r>
            <w:r w:rsidR="002B4BC1" w:rsidRPr="00556F28">
              <w:rPr>
                <w:rFonts w:ascii="Arial" w:hAnsi="Arial" w:cs="Arial"/>
              </w:rPr>
              <w:t xml:space="preserve">ъекта. </w:t>
            </w:r>
            <w:r w:rsidR="00857A78">
              <w:rPr>
                <w:rFonts w:ascii="Arial" w:hAnsi="Arial" w:cs="Arial"/>
              </w:rPr>
              <w:t>Таким образом в</w:t>
            </w:r>
            <w:r w:rsidR="002B4BC1" w:rsidRPr="00556F28">
              <w:rPr>
                <w:rFonts w:ascii="Arial" w:hAnsi="Arial" w:cs="Arial"/>
              </w:rPr>
              <w:t>о время осуществления проекта</w:t>
            </w:r>
            <w:r w:rsidRPr="00556F28">
              <w:rPr>
                <w:rFonts w:ascii="Arial" w:hAnsi="Arial" w:cs="Arial"/>
              </w:rPr>
              <w:t xml:space="preserve"> можно </w:t>
            </w:r>
            <w:r w:rsidR="00857A78">
              <w:rPr>
                <w:rFonts w:ascii="Arial" w:hAnsi="Arial" w:cs="Arial"/>
              </w:rPr>
              <w:t>либо осуществить разработку</w:t>
            </w:r>
            <w:r w:rsidRPr="00556F28">
              <w:rPr>
                <w:rFonts w:ascii="Arial" w:hAnsi="Arial" w:cs="Arial"/>
              </w:rPr>
              <w:t xml:space="preserve"> технической документации</w:t>
            </w:r>
            <w:r w:rsidR="00857A78">
              <w:rPr>
                <w:rFonts w:ascii="Arial" w:hAnsi="Arial" w:cs="Arial"/>
              </w:rPr>
              <w:t xml:space="preserve">, либо </w:t>
            </w:r>
            <w:r w:rsidR="002B4BC1" w:rsidRPr="00556F28">
              <w:rPr>
                <w:rFonts w:ascii="Arial" w:hAnsi="Arial" w:cs="Arial"/>
              </w:rPr>
              <w:t>произвести строительство</w:t>
            </w:r>
            <w:r w:rsidRPr="00556F28">
              <w:rPr>
                <w:rFonts w:ascii="Arial" w:hAnsi="Arial" w:cs="Arial"/>
              </w:rPr>
              <w:t xml:space="preserve"> инфраструктурного компонента. Однако если техническая документация составлена до начала проекта, </w:t>
            </w:r>
            <w:r w:rsidR="002B4BC1" w:rsidRPr="00556F28">
              <w:rPr>
                <w:rFonts w:ascii="Arial" w:hAnsi="Arial" w:cs="Arial"/>
              </w:rPr>
              <w:t>она может быть включена</w:t>
            </w:r>
            <w:r w:rsidRPr="00556F28">
              <w:rPr>
                <w:rFonts w:ascii="Arial" w:hAnsi="Arial" w:cs="Arial"/>
              </w:rPr>
              <w:t xml:space="preserve"> в часть расходов инфраструктурного компонента </w:t>
            </w:r>
            <w:r w:rsidR="002C69F5">
              <w:rPr>
                <w:rFonts w:ascii="Arial" w:hAnsi="Arial" w:cs="Arial"/>
              </w:rPr>
              <w:t xml:space="preserve">(в качестве </w:t>
            </w:r>
            <w:r w:rsidR="00CA04D0">
              <w:rPr>
                <w:rFonts w:ascii="Arial" w:hAnsi="Arial" w:cs="Arial"/>
              </w:rPr>
              <w:t>ретроактивного гранта</w:t>
            </w:r>
            <w:r w:rsidRPr="00556F28">
              <w:rPr>
                <w:rFonts w:ascii="Arial" w:hAnsi="Arial" w:cs="Arial"/>
              </w:rPr>
              <w:t xml:space="preserve"> </w:t>
            </w:r>
            <w:r w:rsidR="00857A78">
              <w:rPr>
                <w:rFonts w:ascii="Arial" w:hAnsi="Arial" w:cs="Arial"/>
              </w:rPr>
              <w:t xml:space="preserve">– </w:t>
            </w:r>
            <w:r w:rsidR="002B4BC1" w:rsidRPr="00556F28">
              <w:rPr>
                <w:rFonts w:ascii="Arial" w:hAnsi="Arial" w:cs="Arial"/>
              </w:rPr>
              <w:t>см.</w:t>
            </w:r>
            <w:r w:rsidRPr="00556F28">
              <w:rPr>
                <w:rFonts w:ascii="Arial" w:hAnsi="Arial" w:cs="Arial"/>
              </w:rPr>
              <w:t xml:space="preserve"> пункт 6.2 Приемлемые расходы </w:t>
            </w:r>
            <w:r w:rsidR="00857A78">
              <w:rPr>
                <w:rFonts w:ascii="Arial" w:hAnsi="Arial" w:cs="Arial"/>
              </w:rPr>
              <w:t>в «</w:t>
            </w:r>
            <w:r w:rsidRPr="00556F28">
              <w:rPr>
                <w:rFonts w:ascii="Arial" w:hAnsi="Arial" w:cs="Arial"/>
              </w:rPr>
              <w:t>Руководств</w:t>
            </w:r>
            <w:r w:rsidR="00857A78">
              <w:rPr>
                <w:rFonts w:ascii="Arial" w:hAnsi="Arial" w:cs="Arial"/>
              </w:rPr>
              <w:t>е</w:t>
            </w:r>
            <w:r w:rsidRPr="00556F28">
              <w:rPr>
                <w:rFonts w:ascii="Arial" w:hAnsi="Arial" w:cs="Arial"/>
              </w:rPr>
              <w:t xml:space="preserve"> по Программе</w:t>
            </w:r>
            <w:r w:rsidR="00857A78">
              <w:rPr>
                <w:rFonts w:ascii="Arial" w:hAnsi="Arial" w:cs="Arial"/>
              </w:rPr>
              <w:t xml:space="preserve">. </w:t>
            </w:r>
            <w:r w:rsidRPr="00556F28">
              <w:rPr>
                <w:rFonts w:ascii="Arial" w:hAnsi="Arial" w:cs="Arial"/>
              </w:rPr>
              <w:t>Часть I</w:t>
            </w:r>
            <w:r w:rsidR="005D6AFB">
              <w:rPr>
                <w:rFonts w:ascii="Arial" w:hAnsi="Arial" w:cs="Arial"/>
              </w:rPr>
              <w:t>.</w:t>
            </w:r>
            <w:r w:rsidRPr="00556F28">
              <w:rPr>
                <w:rFonts w:ascii="Arial" w:hAnsi="Arial" w:cs="Arial"/>
              </w:rPr>
              <w:t xml:space="preserve"> </w:t>
            </w:r>
            <w:r w:rsidR="00857A78">
              <w:rPr>
                <w:rFonts w:ascii="Arial" w:hAnsi="Arial" w:cs="Arial"/>
              </w:rPr>
              <w:t>Д</w:t>
            </w:r>
            <w:r w:rsidRPr="00556F28">
              <w:rPr>
                <w:rFonts w:ascii="Arial" w:hAnsi="Arial" w:cs="Arial"/>
              </w:rPr>
              <w:t>ля заявителей</w:t>
            </w:r>
            <w:r w:rsidR="00857A78">
              <w:rPr>
                <w:rFonts w:ascii="Arial" w:hAnsi="Arial" w:cs="Arial"/>
              </w:rPr>
              <w:t>»)</w:t>
            </w:r>
            <w:r w:rsidRPr="00556F28">
              <w:rPr>
                <w:rFonts w:ascii="Arial" w:hAnsi="Arial" w:cs="Arial"/>
              </w:rPr>
              <w:t>. Эти расходы могут быть понесены только после 8 декабря 2016</w:t>
            </w:r>
            <w:r w:rsidR="00857A78">
              <w:rPr>
                <w:rFonts w:ascii="Arial" w:hAnsi="Arial" w:cs="Arial"/>
              </w:rPr>
              <w:t xml:space="preserve"> </w:t>
            </w:r>
            <w:r w:rsidR="002B4BC1" w:rsidRPr="00556F28">
              <w:rPr>
                <w:rFonts w:ascii="Arial" w:hAnsi="Arial" w:cs="Arial"/>
              </w:rPr>
              <w:t>г</w:t>
            </w:r>
            <w:r w:rsidR="002C69F5">
              <w:rPr>
                <w:rFonts w:ascii="Arial" w:hAnsi="Arial" w:cs="Arial"/>
              </w:rPr>
              <w:t>.</w:t>
            </w:r>
            <w:r w:rsidRPr="00556F28">
              <w:rPr>
                <w:rFonts w:ascii="Arial" w:hAnsi="Arial" w:cs="Arial"/>
              </w:rPr>
              <w:t xml:space="preserve"> для бенефициаров из Польши и только после </w:t>
            </w:r>
            <w:r w:rsidR="002B4BC1" w:rsidRPr="00556F28">
              <w:rPr>
                <w:rFonts w:ascii="Arial" w:hAnsi="Arial" w:cs="Arial"/>
              </w:rPr>
              <w:t>подписания</w:t>
            </w:r>
            <w:r w:rsidRPr="00556F28">
              <w:rPr>
                <w:rFonts w:ascii="Arial" w:hAnsi="Arial" w:cs="Arial"/>
              </w:rPr>
              <w:t xml:space="preserve"> финансово</w:t>
            </w:r>
            <w:r w:rsidR="00F160A1" w:rsidRPr="00556F28">
              <w:rPr>
                <w:rFonts w:ascii="Arial" w:hAnsi="Arial" w:cs="Arial"/>
              </w:rPr>
              <w:t>го</w:t>
            </w:r>
            <w:r w:rsidRPr="00556F28">
              <w:rPr>
                <w:rFonts w:ascii="Arial" w:hAnsi="Arial" w:cs="Arial"/>
              </w:rPr>
              <w:t xml:space="preserve"> соглашени</w:t>
            </w:r>
            <w:r w:rsidR="00F160A1" w:rsidRPr="00556F28">
              <w:rPr>
                <w:rFonts w:ascii="Arial" w:hAnsi="Arial" w:cs="Arial"/>
              </w:rPr>
              <w:t>я</w:t>
            </w:r>
            <w:r w:rsidRPr="00556F28">
              <w:rPr>
                <w:rFonts w:ascii="Arial" w:hAnsi="Arial" w:cs="Arial"/>
              </w:rPr>
              <w:t xml:space="preserve"> для бенефициаров из России.</w:t>
            </w:r>
          </w:p>
          <w:p w:rsidR="007A64AE" w:rsidRPr="007A64AE" w:rsidRDefault="007A64AE" w:rsidP="00857A7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404A7" w:rsidRPr="003666E9" w:rsidTr="00A404A7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5934E5" w:rsidRPr="00556F28" w:rsidRDefault="007A64AE" w:rsidP="007A64AE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64AE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E269D1" w:rsidRPr="00556F28">
              <w:rPr>
                <w:rFonts w:ascii="Arial" w:hAnsi="Arial" w:cs="Arial"/>
                <w:b/>
                <w:sz w:val="22"/>
                <w:szCs w:val="22"/>
              </w:rPr>
              <w:t xml:space="preserve">Каковы требования для подачи </w:t>
            </w:r>
            <w:r w:rsidR="009D29D5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E269D1" w:rsidRPr="00556F28">
              <w:rPr>
                <w:rFonts w:ascii="Arial" w:hAnsi="Arial" w:cs="Arial"/>
                <w:b/>
                <w:sz w:val="22"/>
                <w:szCs w:val="22"/>
              </w:rPr>
              <w:t>Оценки воздействия на окружающую среду</w:t>
            </w:r>
            <w:r w:rsidR="009D29D5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="00E269D1" w:rsidRPr="00556F28">
              <w:rPr>
                <w:rFonts w:ascii="Arial" w:hAnsi="Arial" w:cs="Arial"/>
                <w:b/>
                <w:sz w:val="22"/>
                <w:szCs w:val="22"/>
              </w:rPr>
              <w:t>? Должны ли польские и русские партнеры состав</w:t>
            </w:r>
            <w:r w:rsidR="0054500B">
              <w:rPr>
                <w:rFonts w:ascii="Arial" w:hAnsi="Arial" w:cs="Arial"/>
                <w:b/>
                <w:sz w:val="22"/>
                <w:szCs w:val="22"/>
              </w:rPr>
              <w:t>лять</w:t>
            </w:r>
            <w:r w:rsidR="00E269D1" w:rsidRPr="00556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500B">
              <w:rPr>
                <w:rFonts w:ascii="Arial" w:hAnsi="Arial" w:cs="Arial"/>
                <w:b/>
                <w:sz w:val="22"/>
                <w:szCs w:val="22"/>
              </w:rPr>
              <w:t xml:space="preserve">отдельные </w:t>
            </w:r>
            <w:r w:rsidR="00E269D1" w:rsidRPr="00556F28">
              <w:rPr>
                <w:rFonts w:ascii="Arial" w:hAnsi="Arial" w:cs="Arial"/>
                <w:b/>
                <w:sz w:val="22"/>
                <w:szCs w:val="22"/>
              </w:rPr>
              <w:t>документы?</w:t>
            </w:r>
          </w:p>
        </w:tc>
      </w:tr>
      <w:tr w:rsidR="00A404A7" w:rsidRPr="00072BED" w:rsidTr="00A404A7">
        <w:trPr>
          <w:trHeight w:val="272"/>
        </w:trPr>
        <w:tc>
          <w:tcPr>
            <w:tcW w:w="10144" w:type="dxa"/>
          </w:tcPr>
          <w:p w:rsidR="00987EBE" w:rsidRDefault="00E269D1" w:rsidP="005D6AFB">
            <w:pPr>
              <w:jc w:val="both"/>
              <w:rPr>
                <w:rFonts w:ascii="Arial" w:hAnsi="Arial" w:cs="Arial"/>
                <w:lang w:val="pl-PL"/>
              </w:rPr>
            </w:pPr>
            <w:r w:rsidRPr="00556F28">
              <w:rPr>
                <w:rFonts w:ascii="Arial" w:hAnsi="Arial" w:cs="Arial"/>
              </w:rPr>
              <w:t>Документация</w:t>
            </w:r>
            <w:r w:rsidR="00CB27D4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касающаяся </w:t>
            </w:r>
            <w:r w:rsidR="0054500B">
              <w:rPr>
                <w:rFonts w:ascii="Arial" w:hAnsi="Arial" w:cs="Arial"/>
              </w:rPr>
              <w:t>о</w:t>
            </w:r>
            <w:r w:rsidRPr="00556F28">
              <w:rPr>
                <w:rFonts w:ascii="Arial" w:hAnsi="Arial" w:cs="Arial"/>
              </w:rPr>
              <w:t>ценки воздействия на окружающую среду</w:t>
            </w:r>
            <w:r w:rsidR="00CB27D4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относится только к инфраструктурным проектам. Бенефициары должны предоставить соответствующую документацию к каждому инфраструктурному </w:t>
            </w:r>
            <w:r w:rsidR="0054500B">
              <w:rPr>
                <w:rFonts w:ascii="Arial" w:hAnsi="Arial" w:cs="Arial"/>
              </w:rPr>
              <w:t>компоненту</w:t>
            </w:r>
            <w:r w:rsidRPr="00556F28">
              <w:rPr>
                <w:rFonts w:ascii="Arial" w:hAnsi="Arial" w:cs="Arial"/>
              </w:rPr>
              <w:t xml:space="preserve">. Если </w:t>
            </w:r>
            <w:r w:rsidR="00CB27D4" w:rsidRPr="00556F28">
              <w:rPr>
                <w:rFonts w:ascii="Arial" w:hAnsi="Arial" w:cs="Arial"/>
              </w:rPr>
              <w:t>экологическая документация</w:t>
            </w:r>
            <w:r w:rsidRPr="00556F28">
              <w:rPr>
                <w:rFonts w:ascii="Arial" w:hAnsi="Arial" w:cs="Arial"/>
              </w:rPr>
              <w:t xml:space="preserve"> </w:t>
            </w:r>
            <w:r w:rsidR="0054500B" w:rsidRPr="00556F28">
              <w:rPr>
                <w:rFonts w:ascii="Arial" w:hAnsi="Arial" w:cs="Arial"/>
              </w:rPr>
              <w:t xml:space="preserve">не требуется </w:t>
            </w:r>
            <w:r w:rsidRPr="00556F28">
              <w:rPr>
                <w:rFonts w:ascii="Arial" w:hAnsi="Arial" w:cs="Arial"/>
              </w:rPr>
              <w:t>в соответствии с законодательством страны,</w:t>
            </w:r>
            <w:r w:rsidR="00CB27D4" w:rsidRPr="00556F28">
              <w:rPr>
                <w:rFonts w:ascii="Arial" w:hAnsi="Arial" w:cs="Arial"/>
              </w:rPr>
              <w:t xml:space="preserve"> то</w:t>
            </w:r>
            <w:r w:rsidRPr="00556F28">
              <w:rPr>
                <w:rFonts w:ascii="Arial" w:hAnsi="Arial" w:cs="Arial"/>
              </w:rPr>
              <w:t xml:space="preserve"> </w:t>
            </w:r>
            <w:r w:rsidR="0054500B" w:rsidRPr="00556F28">
              <w:rPr>
                <w:rFonts w:ascii="Arial" w:hAnsi="Arial" w:cs="Arial"/>
              </w:rPr>
              <w:t>должно быть</w:t>
            </w:r>
            <w:r w:rsidR="0054500B">
              <w:rPr>
                <w:rFonts w:ascii="Arial" w:hAnsi="Arial" w:cs="Arial"/>
              </w:rPr>
              <w:t xml:space="preserve"> предоставлено</w:t>
            </w:r>
            <w:r w:rsidR="0054500B" w:rsidRPr="00556F28">
              <w:rPr>
                <w:rFonts w:ascii="Arial" w:hAnsi="Arial" w:cs="Arial"/>
              </w:rPr>
              <w:t xml:space="preserve"> </w:t>
            </w:r>
            <w:r w:rsidRPr="00556F28">
              <w:rPr>
                <w:rFonts w:ascii="Arial" w:hAnsi="Arial" w:cs="Arial"/>
              </w:rPr>
              <w:t xml:space="preserve">письменное </w:t>
            </w:r>
            <w:r w:rsidR="00CB27D4" w:rsidRPr="00556F28">
              <w:rPr>
                <w:rFonts w:ascii="Arial" w:hAnsi="Arial" w:cs="Arial"/>
              </w:rPr>
              <w:t>подтверждение</w:t>
            </w:r>
            <w:r w:rsidRPr="00556F28">
              <w:rPr>
                <w:rFonts w:ascii="Arial" w:hAnsi="Arial" w:cs="Arial"/>
              </w:rPr>
              <w:t xml:space="preserve"> </w:t>
            </w:r>
            <w:r w:rsidR="00CB27D4" w:rsidRPr="00556F28">
              <w:rPr>
                <w:rFonts w:ascii="Arial" w:hAnsi="Arial" w:cs="Arial"/>
              </w:rPr>
              <w:t>от соответствующих органо</w:t>
            </w:r>
            <w:r w:rsidR="004917C9" w:rsidRPr="00556F28">
              <w:rPr>
                <w:rFonts w:ascii="Arial" w:hAnsi="Arial" w:cs="Arial"/>
              </w:rPr>
              <w:t>в</w:t>
            </w:r>
            <w:r w:rsidRPr="00556F28">
              <w:rPr>
                <w:rFonts w:ascii="Arial" w:hAnsi="Arial" w:cs="Arial"/>
              </w:rPr>
              <w:t xml:space="preserve"> </w:t>
            </w:r>
            <w:r w:rsidR="00CA04D0">
              <w:rPr>
                <w:rFonts w:ascii="Arial" w:hAnsi="Arial" w:cs="Arial"/>
              </w:rPr>
              <w:t xml:space="preserve">вместе с </w:t>
            </w:r>
            <w:r w:rsidR="0054500B">
              <w:rPr>
                <w:rFonts w:ascii="Arial" w:hAnsi="Arial" w:cs="Arial"/>
              </w:rPr>
              <w:t>ф</w:t>
            </w:r>
            <w:r w:rsidRPr="00556F28">
              <w:rPr>
                <w:rFonts w:ascii="Arial" w:hAnsi="Arial" w:cs="Arial"/>
              </w:rPr>
              <w:t>ормой заявки.</w:t>
            </w:r>
          </w:p>
          <w:p w:rsidR="007A64AE" w:rsidRPr="007A64AE" w:rsidRDefault="007A64AE" w:rsidP="005D6AFB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404A7" w:rsidRPr="00030413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DE76B1" w:rsidRPr="007A64AE" w:rsidRDefault="007A64AE" w:rsidP="007A64AE">
            <w:pPr>
              <w:jc w:val="both"/>
              <w:rPr>
                <w:rFonts w:ascii="Arial" w:hAnsi="Arial" w:cs="Arial"/>
                <w:b/>
              </w:rPr>
            </w:pPr>
            <w:r w:rsidRPr="007A64AE">
              <w:rPr>
                <w:rFonts w:ascii="Arial" w:hAnsi="Arial" w:cs="Arial"/>
                <w:b/>
              </w:rPr>
              <w:t xml:space="preserve">7. </w:t>
            </w:r>
            <w:r w:rsidR="00A0483A" w:rsidRPr="007A64AE">
              <w:rPr>
                <w:rFonts w:ascii="Arial" w:hAnsi="Arial" w:cs="Arial"/>
                <w:b/>
              </w:rPr>
              <w:t>Каковы требования</w:t>
            </w:r>
            <w:r w:rsidR="00CA04D0" w:rsidRPr="007A64AE">
              <w:rPr>
                <w:rFonts w:ascii="Arial" w:hAnsi="Arial" w:cs="Arial"/>
                <w:b/>
              </w:rPr>
              <w:t>,</w:t>
            </w:r>
            <w:r w:rsidR="00A0483A" w:rsidRPr="007A64AE">
              <w:rPr>
                <w:rFonts w:ascii="Arial" w:hAnsi="Arial" w:cs="Arial"/>
                <w:b/>
              </w:rPr>
              <w:t xml:space="preserve"> касающиеся составле</w:t>
            </w:r>
            <w:r w:rsidR="00CA04D0" w:rsidRPr="007A64AE">
              <w:rPr>
                <w:rFonts w:ascii="Arial" w:hAnsi="Arial" w:cs="Arial"/>
                <w:b/>
              </w:rPr>
              <w:t>ния технической документации? Должна ли до</w:t>
            </w:r>
            <w:r w:rsidR="00A0483A" w:rsidRPr="007A64AE">
              <w:rPr>
                <w:rFonts w:ascii="Arial" w:hAnsi="Arial" w:cs="Arial"/>
                <w:b/>
              </w:rPr>
              <w:t>кументация</w:t>
            </w:r>
            <w:r w:rsidR="00CA04D0" w:rsidRPr="007A64AE">
              <w:rPr>
                <w:rFonts w:ascii="Arial" w:hAnsi="Arial" w:cs="Arial"/>
                <w:b/>
              </w:rPr>
              <w:t>,</w:t>
            </w:r>
            <w:r w:rsidR="00A0483A" w:rsidRPr="007A64AE">
              <w:rPr>
                <w:rFonts w:ascii="Arial" w:hAnsi="Arial" w:cs="Arial"/>
                <w:b/>
              </w:rPr>
              <w:t xml:space="preserve"> </w:t>
            </w:r>
            <w:r w:rsidR="0054500B" w:rsidRPr="007A64AE">
              <w:rPr>
                <w:rFonts w:ascii="Arial" w:hAnsi="Arial" w:cs="Arial"/>
                <w:b/>
              </w:rPr>
              <w:t>включенная в бюджетную категорию «</w:t>
            </w:r>
            <w:r w:rsidR="00A0483A" w:rsidRPr="007A64AE">
              <w:rPr>
                <w:rFonts w:ascii="Arial" w:hAnsi="Arial" w:cs="Arial"/>
                <w:b/>
              </w:rPr>
              <w:t>подготовительны</w:t>
            </w:r>
            <w:r w:rsidR="0054500B" w:rsidRPr="007A64AE">
              <w:rPr>
                <w:rFonts w:ascii="Arial" w:hAnsi="Arial" w:cs="Arial"/>
                <w:b/>
              </w:rPr>
              <w:t>е</w:t>
            </w:r>
            <w:r w:rsidR="00A0483A" w:rsidRPr="007A64AE">
              <w:rPr>
                <w:rFonts w:ascii="Arial" w:hAnsi="Arial" w:cs="Arial"/>
                <w:b/>
              </w:rPr>
              <w:t xml:space="preserve"> расход</w:t>
            </w:r>
            <w:r w:rsidR="0054500B" w:rsidRPr="007A64AE">
              <w:rPr>
                <w:rFonts w:ascii="Arial" w:hAnsi="Arial" w:cs="Arial"/>
                <w:b/>
              </w:rPr>
              <w:t>ы»</w:t>
            </w:r>
            <w:r w:rsidR="00A0483A" w:rsidRPr="007A64AE">
              <w:rPr>
                <w:rFonts w:ascii="Arial" w:hAnsi="Arial" w:cs="Arial"/>
                <w:b/>
              </w:rPr>
              <w:t xml:space="preserve"> и составлен</w:t>
            </w:r>
            <w:r w:rsidR="00CA04D0" w:rsidRPr="007A64AE">
              <w:rPr>
                <w:rFonts w:ascii="Arial" w:hAnsi="Arial" w:cs="Arial"/>
                <w:b/>
              </w:rPr>
              <w:t>н</w:t>
            </w:r>
            <w:r w:rsidR="00A0483A" w:rsidRPr="007A64AE">
              <w:rPr>
                <w:rFonts w:ascii="Arial" w:hAnsi="Arial" w:cs="Arial"/>
                <w:b/>
              </w:rPr>
              <w:t>а</w:t>
            </w:r>
            <w:r w:rsidR="00CA04D0" w:rsidRPr="007A64AE">
              <w:rPr>
                <w:rFonts w:ascii="Arial" w:hAnsi="Arial" w:cs="Arial"/>
                <w:b/>
              </w:rPr>
              <w:t>я</w:t>
            </w:r>
            <w:r w:rsidR="00A0483A" w:rsidRPr="007A64AE">
              <w:rPr>
                <w:rFonts w:ascii="Arial" w:hAnsi="Arial" w:cs="Arial"/>
                <w:b/>
              </w:rPr>
              <w:t xml:space="preserve"> до подачи проектн</w:t>
            </w:r>
            <w:r w:rsidR="0054500B" w:rsidRPr="007A64AE">
              <w:rPr>
                <w:rFonts w:ascii="Arial" w:hAnsi="Arial" w:cs="Arial"/>
                <w:b/>
              </w:rPr>
              <w:t>ой</w:t>
            </w:r>
            <w:r w:rsidR="00A0483A" w:rsidRPr="007A64AE">
              <w:rPr>
                <w:rFonts w:ascii="Arial" w:hAnsi="Arial" w:cs="Arial"/>
                <w:b/>
              </w:rPr>
              <w:t xml:space="preserve"> заявк</w:t>
            </w:r>
            <w:r w:rsidR="0054500B" w:rsidRPr="007A64AE">
              <w:rPr>
                <w:rFonts w:ascii="Arial" w:hAnsi="Arial" w:cs="Arial"/>
                <w:b/>
              </w:rPr>
              <w:t>и</w:t>
            </w:r>
            <w:r w:rsidR="00A0483A" w:rsidRPr="007A64AE">
              <w:rPr>
                <w:rFonts w:ascii="Arial" w:hAnsi="Arial" w:cs="Arial"/>
                <w:b/>
              </w:rPr>
              <w:t>, содержать лого</w:t>
            </w:r>
            <w:r w:rsidR="00CA04D0" w:rsidRPr="007A64AE">
              <w:rPr>
                <w:rFonts w:ascii="Arial" w:hAnsi="Arial" w:cs="Arial"/>
                <w:b/>
              </w:rPr>
              <w:t>тип</w:t>
            </w:r>
            <w:r w:rsidR="00A0483A" w:rsidRPr="007A64AE">
              <w:rPr>
                <w:rFonts w:ascii="Arial" w:hAnsi="Arial" w:cs="Arial"/>
                <w:b/>
              </w:rPr>
              <w:t xml:space="preserve"> Европейского Союза? Должна ли </w:t>
            </w:r>
            <w:r w:rsidR="00CA04D0" w:rsidRPr="007A64AE">
              <w:rPr>
                <w:rFonts w:ascii="Arial" w:hAnsi="Arial" w:cs="Arial"/>
                <w:b/>
              </w:rPr>
              <w:t>она быть оплачена</w:t>
            </w:r>
            <w:r w:rsidR="00A0483A" w:rsidRPr="007A64AE">
              <w:rPr>
                <w:rFonts w:ascii="Arial" w:hAnsi="Arial" w:cs="Arial"/>
                <w:b/>
              </w:rPr>
              <w:t xml:space="preserve"> </w:t>
            </w:r>
            <w:r w:rsidR="0054500B" w:rsidRPr="007A64AE">
              <w:rPr>
                <w:rFonts w:ascii="Arial" w:hAnsi="Arial" w:cs="Arial"/>
                <w:b/>
              </w:rPr>
              <w:t xml:space="preserve">с </w:t>
            </w:r>
            <w:r w:rsidR="00A0483A" w:rsidRPr="007A64AE">
              <w:rPr>
                <w:rFonts w:ascii="Arial" w:hAnsi="Arial" w:cs="Arial"/>
                <w:b/>
              </w:rPr>
              <w:t>отдельн</w:t>
            </w:r>
            <w:r w:rsidR="0054500B" w:rsidRPr="007A64AE">
              <w:rPr>
                <w:rFonts w:ascii="Arial" w:hAnsi="Arial" w:cs="Arial"/>
                <w:b/>
              </w:rPr>
              <w:t>ого</w:t>
            </w:r>
            <w:r w:rsidR="00A0483A" w:rsidRPr="007A64AE">
              <w:rPr>
                <w:rFonts w:ascii="Arial" w:hAnsi="Arial" w:cs="Arial"/>
                <w:b/>
              </w:rPr>
              <w:t xml:space="preserve"> счет</w:t>
            </w:r>
            <w:r w:rsidR="0054500B" w:rsidRPr="007A64AE">
              <w:rPr>
                <w:rFonts w:ascii="Arial" w:hAnsi="Arial" w:cs="Arial"/>
                <w:b/>
              </w:rPr>
              <w:t>а</w:t>
            </w:r>
            <w:r w:rsidR="00A0483A" w:rsidRPr="007A64AE">
              <w:rPr>
                <w:rFonts w:ascii="Arial" w:hAnsi="Arial" w:cs="Arial"/>
                <w:b/>
              </w:rPr>
              <w:t>? Какие документы надо собрать для отчета (</w:t>
            </w:r>
            <w:r w:rsidR="00CA04D0" w:rsidRPr="007A64AE">
              <w:rPr>
                <w:rFonts w:ascii="Arial" w:hAnsi="Arial" w:cs="Arial"/>
                <w:b/>
              </w:rPr>
              <w:t>счета</w:t>
            </w:r>
            <w:r w:rsidR="0054500B" w:rsidRPr="007A64AE">
              <w:rPr>
                <w:rFonts w:ascii="Arial" w:hAnsi="Arial" w:cs="Arial"/>
                <w:b/>
              </w:rPr>
              <w:t>-фактуры</w:t>
            </w:r>
            <w:r w:rsidR="00A0483A" w:rsidRPr="007A64AE">
              <w:rPr>
                <w:rFonts w:ascii="Arial" w:hAnsi="Arial" w:cs="Arial"/>
                <w:b/>
              </w:rPr>
              <w:t xml:space="preserve">, банковские </w:t>
            </w:r>
            <w:r w:rsidR="0054500B" w:rsidRPr="007A64AE">
              <w:rPr>
                <w:rFonts w:ascii="Arial" w:hAnsi="Arial" w:cs="Arial"/>
                <w:b/>
              </w:rPr>
              <w:t>подтверждения</w:t>
            </w:r>
            <w:r w:rsidR="00A0483A" w:rsidRPr="007A64AE">
              <w:rPr>
                <w:rFonts w:ascii="Arial" w:hAnsi="Arial" w:cs="Arial"/>
                <w:b/>
              </w:rPr>
              <w:t xml:space="preserve"> и</w:t>
            </w:r>
            <w:r w:rsidR="00CA04D0" w:rsidRPr="007A64AE">
              <w:rPr>
                <w:rFonts w:ascii="Arial" w:hAnsi="Arial" w:cs="Arial"/>
                <w:b/>
              </w:rPr>
              <w:t xml:space="preserve"> </w:t>
            </w:r>
            <w:r w:rsidR="00A0483A" w:rsidRPr="007A64AE">
              <w:rPr>
                <w:rFonts w:ascii="Arial" w:hAnsi="Arial" w:cs="Arial"/>
                <w:b/>
              </w:rPr>
              <w:t>т</w:t>
            </w:r>
            <w:r w:rsidR="00CA04D0" w:rsidRPr="007A64AE">
              <w:rPr>
                <w:rFonts w:ascii="Arial" w:hAnsi="Arial" w:cs="Arial"/>
                <w:b/>
              </w:rPr>
              <w:t>.</w:t>
            </w:r>
            <w:r w:rsidR="00A0483A" w:rsidRPr="007A64AE">
              <w:rPr>
                <w:rFonts w:ascii="Arial" w:hAnsi="Arial" w:cs="Arial"/>
                <w:b/>
              </w:rPr>
              <w:t xml:space="preserve">п.)? Существуют ли какие-то </w:t>
            </w:r>
            <w:r w:rsidR="00CA04D0" w:rsidRPr="007A64AE">
              <w:rPr>
                <w:rFonts w:ascii="Arial" w:hAnsi="Arial" w:cs="Arial"/>
                <w:b/>
              </w:rPr>
              <w:t>лимиты</w:t>
            </w:r>
            <w:r w:rsidR="00A0483A" w:rsidRPr="007A64AE">
              <w:rPr>
                <w:rFonts w:ascii="Arial" w:hAnsi="Arial" w:cs="Arial"/>
                <w:b/>
              </w:rPr>
              <w:t xml:space="preserve"> для этих расходов?</w:t>
            </w:r>
          </w:p>
        </w:tc>
      </w:tr>
      <w:tr w:rsidR="00335AEE" w:rsidRPr="00072BED" w:rsidTr="00335AEE">
        <w:trPr>
          <w:trHeight w:val="287"/>
        </w:trPr>
        <w:tc>
          <w:tcPr>
            <w:tcW w:w="10144" w:type="dxa"/>
            <w:shd w:val="clear" w:color="auto" w:fill="auto"/>
          </w:tcPr>
          <w:p w:rsidR="00B43BA8" w:rsidRPr="00CA04D0" w:rsidRDefault="0054500B" w:rsidP="006628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первую очередь мы бы хотели обратить внимание на то, что р</w:t>
            </w:r>
            <w:r w:rsidR="00A0483A" w:rsidRPr="00556F28">
              <w:rPr>
                <w:rFonts w:ascii="Arial" w:hAnsi="Arial" w:cs="Arial"/>
              </w:rPr>
              <w:t>асходы на составление</w:t>
            </w:r>
            <w:r w:rsidR="00BB2BB5" w:rsidRPr="00556F28">
              <w:rPr>
                <w:rFonts w:ascii="Arial" w:hAnsi="Arial" w:cs="Arial"/>
              </w:rPr>
              <w:t xml:space="preserve"> технической документации и</w:t>
            </w:r>
            <w:r w:rsidR="00A0483A" w:rsidRPr="00556F28">
              <w:rPr>
                <w:rFonts w:ascii="Arial" w:hAnsi="Arial" w:cs="Arial"/>
              </w:rPr>
              <w:t xml:space="preserve"> технико-экономического обоснования не являются </w:t>
            </w:r>
            <w:r>
              <w:rPr>
                <w:rFonts w:ascii="Arial" w:hAnsi="Arial" w:cs="Arial"/>
              </w:rPr>
              <w:t>«</w:t>
            </w:r>
            <w:r w:rsidR="00A0483A" w:rsidRPr="00556F28">
              <w:rPr>
                <w:rFonts w:ascii="Arial" w:hAnsi="Arial" w:cs="Arial"/>
              </w:rPr>
              <w:t>подготовительными расходами</w:t>
            </w:r>
            <w:r>
              <w:rPr>
                <w:rFonts w:ascii="Arial" w:hAnsi="Arial" w:cs="Arial"/>
              </w:rPr>
              <w:t>»</w:t>
            </w:r>
            <w:r w:rsidR="00A0483A" w:rsidRPr="00556F28">
              <w:rPr>
                <w:rFonts w:ascii="Arial" w:hAnsi="Arial" w:cs="Arial"/>
              </w:rPr>
              <w:t xml:space="preserve"> проекта. Перечень </w:t>
            </w:r>
            <w:r>
              <w:rPr>
                <w:rFonts w:ascii="Arial" w:hAnsi="Arial" w:cs="Arial"/>
              </w:rPr>
              <w:t>«</w:t>
            </w:r>
            <w:r w:rsidR="00A0483A" w:rsidRPr="00556F28">
              <w:rPr>
                <w:rFonts w:ascii="Arial" w:hAnsi="Arial" w:cs="Arial"/>
              </w:rPr>
              <w:t>подготовительных расходов</w:t>
            </w:r>
            <w:r>
              <w:rPr>
                <w:rFonts w:ascii="Arial" w:hAnsi="Arial" w:cs="Arial"/>
              </w:rPr>
              <w:t>»</w:t>
            </w:r>
            <w:r w:rsidR="00A0483A" w:rsidRPr="00556F28">
              <w:rPr>
                <w:rFonts w:ascii="Arial" w:hAnsi="Arial" w:cs="Arial"/>
              </w:rPr>
              <w:t xml:space="preserve"> охватывает только соз</w:t>
            </w:r>
            <w:r w:rsidR="00BB2BB5" w:rsidRPr="00556F28">
              <w:rPr>
                <w:rFonts w:ascii="Arial" w:hAnsi="Arial" w:cs="Arial"/>
              </w:rPr>
              <w:t>д</w:t>
            </w:r>
            <w:r w:rsidR="00A0483A" w:rsidRPr="00556F28">
              <w:rPr>
                <w:rFonts w:ascii="Arial" w:hAnsi="Arial" w:cs="Arial"/>
              </w:rPr>
              <w:t>ание сильного партнерства (</w:t>
            </w:r>
            <w:r>
              <w:rPr>
                <w:rFonts w:ascii="Arial" w:hAnsi="Arial" w:cs="Arial"/>
              </w:rPr>
              <w:t xml:space="preserve">а именно – </w:t>
            </w:r>
            <w:r w:rsidR="00A0483A" w:rsidRPr="00556F28">
              <w:rPr>
                <w:rFonts w:ascii="Arial" w:hAnsi="Arial" w:cs="Arial"/>
              </w:rPr>
              <w:t>командиров</w:t>
            </w:r>
            <w:r w:rsidR="0043065C" w:rsidRPr="00556F28">
              <w:rPr>
                <w:rFonts w:ascii="Arial" w:hAnsi="Arial" w:cs="Arial"/>
              </w:rPr>
              <w:t>очные расходы</w:t>
            </w:r>
            <w:r w:rsidR="00A0483A" w:rsidRPr="00556F28">
              <w:rPr>
                <w:rFonts w:ascii="Arial" w:hAnsi="Arial" w:cs="Arial"/>
              </w:rPr>
              <w:t>, в том числе суточные</w:t>
            </w:r>
            <w:r>
              <w:rPr>
                <w:rFonts w:ascii="Arial" w:hAnsi="Arial" w:cs="Arial"/>
              </w:rPr>
              <w:t>,</w:t>
            </w:r>
            <w:r w:rsidR="0043065C" w:rsidRPr="00556F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43065C" w:rsidRPr="00556F28">
              <w:rPr>
                <w:rFonts w:ascii="Arial" w:hAnsi="Arial" w:cs="Arial"/>
              </w:rPr>
              <w:t>персонала бенефициаров</w:t>
            </w:r>
            <w:r w:rsidR="00A0483A" w:rsidRPr="00556F28">
              <w:rPr>
                <w:rFonts w:ascii="Arial" w:hAnsi="Arial" w:cs="Arial"/>
              </w:rPr>
              <w:t xml:space="preserve">). Однако составление </w:t>
            </w:r>
            <w:r w:rsidR="005A3208" w:rsidRPr="00556F28">
              <w:rPr>
                <w:rFonts w:ascii="Arial" w:hAnsi="Arial" w:cs="Arial"/>
              </w:rPr>
              <w:t xml:space="preserve">технической документации и </w:t>
            </w:r>
            <w:r w:rsidR="00A0483A" w:rsidRPr="00556F28">
              <w:rPr>
                <w:rFonts w:ascii="Arial" w:hAnsi="Arial" w:cs="Arial"/>
              </w:rPr>
              <w:t>технико-экономического обоснова</w:t>
            </w:r>
            <w:r w:rsidR="005A3208" w:rsidRPr="00556F28">
              <w:rPr>
                <w:rFonts w:ascii="Arial" w:hAnsi="Arial" w:cs="Arial"/>
              </w:rPr>
              <w:t>ния</w:t>
            </w:r>
            <w:r w:rsidR="002E6A45">
              <w:rPr>
                <w:rFonts w:ascii="Arial" w:hAnsi="Arial" w:cs="Arial"/>
              </w:rPr>
              <w:t>, относящихся к инфраструктурному компоненту,</w:t>
            </w:r>
            <w:r w:rsidR="005A3208" w:rsidRPr="00556F28">
              <w:rPr>
                <w:rFonts w:ascii="Arial" w:hAnsi="Arial" w:cs="Arial"/>
              </w:rPr>
              <w:t xml:space="preserve"> может быть элементом ретроактивного гранта</w:t>
            </w:r>
            <w:r w:rsidR="00A0483A" w:rsidRPr="00556F28">
              <w:rPr>
                <w:rFonts w:ascii="Arial" w:hAnsi="Arial" w:cs="Arial"/>
              </w:rPr>
              <w:t xml:space="preserve">. </w:t>
            </w:r>
            <w:r w:rsidR="002E6A45">
              <w:rPr>
                <w:rFonts w:ascii="Arial" w:hAnsi="Arial" w:cs="Arial"/>
              </w:rPr>
              <w:t>Эти</w:t>
            </w:r>
            <w:r w:rsidR="00CA04D0">
              <w:rPr>
                <w:rFonts w:ascii="Arial" w:hAnsi="Arial" w:cs="Arial"/>
              </w:rPr>
              <w:t xml:space="preserve"> вопрос</w:t>
            </w:r>
            <w:r w:rsidR="002E6A45">
              <w:rPr>
                <w:rFonts w:ascii="Arial" w:hAnsi="Arial" w:cs="Arial"/>
              </w:rPr>
              <w:t xml:space="preserve">ы – </w:t>
            </w:r>
            <w:r w:rsidR="00A0483A" w:rsidRPr="00556F28">
              <w:rPr>
                <w:rFonts w:ascii="Arial" w:hAnsi="Arial" w:cs="Arial"/>
              </w:rPr>
              <w:t>подготовительные расход</w:t>
            </w:r>
            <w:r w:rsidR="002E6A45">
              <w:rPr>
                <w:rFonts w:ascii="Arial" w:hAnsi="Arial" w:cs="Arial"/>
              </w:rPr>
              <w:t>ы</w:t>
            </w:r>
            <w:r w:rsidR="00A0483A" w:rsidRPr="00556F28">
              <w:rPr>
                <w:rFonts w:ascii="Arial" w:hAnsi="Arial" w:cs="Arial"/>
              </w:rPr>
              <w:t xml:space="preserve"> и</w:t>
            </w:r>
            <w:r w:rsidR="005A3208" w:rsidRPr="00556F28">
              <w:rPr>
                <w:rFonts w:ascii="Arial" w:hAnsi="Arial" w:cs="Arial"/>
              </w:rPr>
              <w:t xml:space="preserve"> ретроактивный</w:t>
            </w:r>
            <w:r w:rsidR="00A0483A" w:rsidRPr="00556F28">
              <w:rPr>
                <w:rFonts w:ascii="Arial" w:hAnsi="Arial" w:cs="Arial"/>
              </w:rPr>
              <w:t xml:space="preserve"> грант</w:t>
            </w:r>
            <w:r w:rsidR="002E6A45">
              <w:rPr>
                <w:rFonts w:ascii="Arial" w:hAnsi="Arial" w:cs="Arial"/>
              </w:rPr>
              <w:t xml:space="preserve"> – необходимо </w:t>
            </w:r>
            <w:r w:rsidR="005A3208" w:rsidRPr="00556F28">
              <w:rPr>
                <w:rFonts w:ascii="Arial" w:hAnsi="Arial" w:cs="Arial"/>
              </w:rPr>
              <w:t>рассматривать</w:t>
            </w:r>
            <w:r w:rsidR="00A0483A" w:rsidRPr="00556F28">
              <w:rPr>
                <w:rFonts w:ascii="Arial" w:hAnsi="Arial" w:cs="Arial"/>
              </w:rPr>
              <w:t xml:space="preserve"> раздельно (</w:t>
            </w:r>
            <w:r w:rsidR="002E6A45">
              <w:rPr>
                <w:rFonts w:ascii="Arial" w:hAnsi="Arial" w:cs="Arial"/>
              </w:rPr>
              <w:t xml:space="preserve">см. </w:t>
            </w:r>
            <w:r w:rsidR="00A0483A" w:rsidRPr="00556F28">
              <w:rPr>
                <w:rFonts w:ascii="Arial" w:hAnsi="Arial" w:cs="Arial"/>
              </w:rPr>
              <w:t xml:space="preserve">раздел 6.2 Приемлемые расходы </w:t>
            </w:r>
            <w:r w:rsidR="002E6A45">
              <w:rPr>
                <w:rFonts w:ascii="Arial" w:hAnsi="Arial" w:cs="Arial"/>
              </w:rPr>
              <w:t>в «</w:t>
            </w:r>
            <w:r w:rsidR="00A0483A" w:rsidRPr="00556F28">
              <w:rPr>
                <w:rFonts w:ascii="Arial" w:hAnsi="Arial" w:cs="Arial"/>
              </w:rPr>
              <w:t>Руководств</w:t>
            </w:r>
            <w:r w:rsidR="002E6A45">
              <w:rPr>
                <w:rFonts w:ascii="Arial" w:hAnsi="Arial" w:cs="Arial"/>
              </w:rPr>
              <w:t>е</w:t>
            </w:r>
            <w:r w:rsidR="00A0483A" w:rsidRPr="00556F28">
              <w:rPr>
                <w:rFonts w:ascii="Arial" w:hAnsi="Arial" w:cs="Arial"/>
              </w:rPr>
              <w:t xml:space="preserve"> по Про</w:t>
            </w:r>
            <w:r w:rsidR="00CA04D0">
              <w:rPr>
                <w:rFonts w:ascii="Arial" w:hAnsi="Arial" w:cs="Arial"/>
              </w:rPr>
              <w:t>грамме</w:t>
            </w:r>
            <w:r w:rsidR="002E6A45">
              <w:rPr>
                <w:rFonts w:ascii="Arial" w:hAnsi="Arial" w:cs="Arial"/>
              </w:rPr>
              <w:t>.</w:t>
            </w:r>
            <w:r w:rsidR="00CA04D0">
              <w:rPr>
                <w:rFonts w:ascii="Arial" w:hAnsi="Arial" w:cs="Arial"/>
              </w:rPr>
              <w:t xml:space="preserve"> Часть I</w:t>
            </w:r>
            <w:r w:rsidR="00D82028" w:rsidRPr="00D82028">
              <w:rPr>
                <w:rFonts w:ascii="Arial" w:hAnsi="Arial" w:cs="Arial"/>
              </w:rPr>
              <w:t>.</w:t>
            </w:r>
            <w:r w:rsidR="00CA04D0">
              <w:rPr>
                <w:rFonts w:ascii="Arial" w:hAnsi="Arial" w:cs="Arial"/>
              </w:rPr>
              <w:t xml:space="preserve"> </w:t>
            </w:r>
            <w:r w:rsidR="002E6A45">
              <w:rPr>
                <w:rFonts w:ascii="Arial" w:hAnsi="Arial" w:cs="Arial"/>
              </w:rPr>
              <w:t>Д</w:t>
            </w:r>
            <w:r w:rsidR="00CA04D0">
              <w:rPr>
                <w:rFonts w:ascii="Arial" w:hAnsi="Arial" w:cs="Arial"/>
              </w:rPr>
              <w:t>ля заявителей</w:t>
            </w:r>
            <w:r w:rsidR="002E6A45">
              <w:rPr>
                <w:rFonts w:ascii="Arial" w:hAnsi="Arial" w:cs="Arial"/>
              </w:rPr>
              <w:t>»</w:t>
            </w:r>
            <w:r w:rsidR="00CA04D0">
              <w:rPr>
                <w:rFonts w:ascii="Arial" w:hAnsi="Arial" w:cs="Arial"/>
              </w:rPr>
              <w:t>).</w:t>
            </w:r>
          </w:p>
          <w:p w:rsidR="00441699" w:rsidRDefault="00A0483A" w:rsidP="00CA04D0">
            <w:p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Техническая документация</w:t>
            </w:r>
            <w:r w:rsidR="006D585E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</w:t>
            </w:r>
            <w:r w:rsidR="00CA04D0">
              <w:rPr>
                <w:rFonts w:ascii="Arial" w:hAnsi="Arial" w:cs="Arial"/>
              </w:rPr>
              <w:t>относящаяся к ин</w:t>
            </w:r>
            <w:r w:rsidR="00D82028">
              <w:rPr>
                <w:rFonts w:ascii="Arial" w:hAnsi="Arial" w:cs="Arial"/>
              </w:rPr>
              <w:t>фраструктурному компоненту</w:t>
            </w:r>
            <w:r w:rsidRPr="00556F28">
              <w:rPr>
                <w:rFonts w:ascii="Arial" w:hAnsi="Arial" w:cs="Arial"/>
              </w:rPr>
              <w:t xml:space="preserve">, </w:t>
            </w:r>
            <w:r w:rsidR="00CA04D0">
              <w:rPr>
                <w:rFonts w:ascii="Arial" w:hAnsi="Arial" w:cs="Arial"/>
              </w:rPr>
              <w:t>включается в бюджет проекта</w:t>
            </w:r>
            <w:r w:rsidR="00CA04D0" w:rsidRPr="00556F28">
              <w:rPr>
                <w:rFonts w:ascii="Arial" w:hAnsi="Arial" w:cs="Arial"/>
              </w:rPr>
              <w:t xml:space="preserve"> </w:t>
            </w:r>
            <w:r w:rsidR="00CA04D0">
              <w:rPr>
                <w:rFonts w:ascii="Arial" w:hAnsi="Arial" w:cs="Arial"/>
              </w:rPr>
              <w:t xml:space="preserve">в раздел </w:t>
            </w:r>
            <w:r w:rsidR="006D585E" w:rsidRPr="00556F28">
              <w:rPr>
                <w:rFonts w:ascii="Arial" w:hAnsi="Arial" w:cs="Arial"/>
              </w:rPr>
              <w:t xml:space="preserve">6 </w:t>
            </w:r>
            <w:r w:rsidR="00D82028">
              <w:rPr>
                <w:rFonts w:ascii="Arial" w:hAnsi="Arial" w:cs="Arial"/>
              </w:rPr>
              <w:t>«</w:t>
            </w:r>
            <w:r w:rsidRPr="00556F28">
              <w:rPr>
                <w:rFonts w:ascii="Arial" w:hAnsi="Arial" w:cs="Arial"/>
              </w:rPr>
              <w:t>Инфраструктурный компонент</w:t>
            </w:r>
            <w:r w:rsidR="00D82028">
              <w:rPr>
                <w:rFonts w:ascii="Arial" w:hAnsi="Arial" w:cs="Arial"/>
              </w:rPr>
              <w:t>»</w:t>
            </w:r>
            <w:r w:rsidRPr="00556F28">
              <w:rPr>
                <w:rFonts w:ascii="Arial" w:hAnsi="Arial" w:cs="Arial"/>
              </w:rPr>
              <w:t xml:space="preserve">. </w:t>
            </w:r>
          </w:p>
          <w:p w:rsidR="00A0483A" w:rsidRPr="00556F28" w:rsidRDefault="006D585E" w:rsidP="00CA04D0">
            <w:p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Что касается элементов визуализации</w:t>
            </w:r>
            <w:r w:rsidR="00A0483A" w:rsidRPr="00556F28">
              <w:rPr>
                <w:rFonts w:ascii="Arial" w:hAnsi="Arial" w:cs="Arial"/>
              </w:rPr>
              <w:t xml:space="preserve"> (т.е. флаг ЕС, лого Программы</w:t>
            </w:r>
            <w:r w:rsidR="00D82028">
              <w:rPr>
                <w:rFonts w:ascii="Arial" w:hAnsi="Arial" w:cs="Arial"/>
              </w:rPr>
              <w:t xml:space="preserve"> и т.д.</w:t>
            </w:r>
            <w:r w:rsidR="00A0483A" w:rsidRPr="00556F28">
              <w:rPr>
                <w:rFonts w:ascii="Arial" w:hAnsi="Arial" w:cs="Arial"/>
              </w:rPr>
              <w:t>), то они являются обязательными для всех коммуникационных продуктов проекта, приобретен</w:t>
            </w:r>
            <w:r w:rsidR="003143BE">
              <w:rPr>
                <w:rFonts w:ascii="Arial" w:hAnsi="Arial" w:cs="Arial"/>
              </w:rPr>
              <w:t>н</w:t>
            </w:r>
            <w:r w:rsidR="00A0483A" w:rsidRPr="00556F28">
              <w:rPr>
                <w:rFonts w:ascii="Arial" w:hAnsi="Arial" w:cs="Arial"/>
              </w:rPr>
              <w:t xml:space="preserve">ого оборудования, </w:t>
            </w:r>
            <w:r w:rsidR="00CA04D0" w:rsidRPr="00556F28">
              <w:rPr>
                <w:rFonts w:ascii="Arial" w:hAnsi="Arial" w:cs="Arial"/>
              </w:rPr>
              <w:t>построенной</w:t>
            </w:r>
            <w:r w:rsidR="00A0483A" w:rsidRPr="00556F28">
              <w:rPr>
                <w:rFonts w:ascii="Arial" w:hAnsi="Arial" w:cs="Arial"/>
              </w:rPr>
              <w:t xml:space="preserve"> инфраструктуры и</w:t>
            </w:r>
            <w:r w:rsidRPr="00556F28">
              <w:rPr>
                <w:rFonts w:ascii="Arial" w:hAnsi="Arial" w:cs="Arial"/>
              </w:rPr>
              <w:t xml:space="preserve"> </w:t>
            </w:r>
            <w:r w:rsidR="00A0483A" w:rsidRPr="00556F28">
              <w:rPr>
                <w:rFonts w:ascii="Arial" w:hAnsi="Arial" w:cs="Arial"/>
              </w:rPr>
              <w:t>т</w:t>
            </w:r>
            <w:r w:rsidR="00CA04D0">
              <w:rPr>
                <w:rFonts w:ascii="Arial" w:hAnsi="Arial" w:cs="Arial"/>
              </w:rPr>
              <w:t>.</w:t>
            </w:r>
            <w:r w:rsidR="00A0483A" w:rsidRPr="00556F28">
              <w:rPr>
                <w:rFonts w:ascii="Arial" w:hAnsi="Arial" w:cs="Arial"/>
              </w:rPr>
              <w:t xml:space="preserve">п. </w:t>
            </w:r>
            <w:r w:rsidR="00D82028">
              <w:rPr>
                <w:rFonts w:ascii="Arial" w:hAnsi="Arial" w:cs="Arial"/>
              </w:rPr>
              <w:t>Однако это требование</w:t>
            </w:r>
            <w:r w:rsidR="00441699">
              <w:rPr>
                <w:rFonts w:ascii="Arial" w:hAnsi="Arial" w:cs="Arial"/>
              </w:rPr>
              <w:t xml:space="preserve"> не касается документации</w:t>
            </w:r>
            <w:r w:rsidR="00CA04D0">
              <w:rPr>
                <w:rFonts w:ascii="Arial" w:hAnsi="Arial" w:cs="Arial"/>
              </w:rPr>
              <w:t>,</w:t>
            </w:r>
            <w:r w:rsidR="00A0483A" w:rsidRPr="00556F28">
              <w:rPr>
                <w:rFonts w:ascii="Arial" w:hAnsi="Arial" w:cs="Arial"/>
              </w:rPr>
              <w:t xml:space="preserve"> составл</w:t>
            </w:r>
            <w:r w:rsidRPr="00556F28">
              <w:rPr>
                <w:rFonts w:ascii="Arial" w:hAnsi="Arial" w:cs="Arial"/>
              </w:rPr>
              <w:t>енной до начала проекта и без</w:t>
            </w:r>
            <w:r w:rsidR="00A0483A" w:rsidRPr="00556F28">
              <w:rPr>
                <w:rFonts w:ascii="Arial" w:hAnsi="Arial" w:cs="Arial"/>
              </w:rPr>
              <w:t xml:space="preserve"> гарантии</w:t>
            </w:r>
            <w:r w:rsidR="00D82028">
              <w:rPr>
                <w:rFonts w:ascii="Arial" w:hAnsi="Arial" w:cs="Arial"/>
              </w:rPr>
              <w:t xml:space="preserve"> того</w:t>
            </w:r>
            <w:r w:rsidR="00A0483A" w:rsidRPr="00556F28">
              <w:rPr>
                <w:rFonts w:ascii="Arial" w:hAnsi="Arial" w:cs="Arial"/>
              </w:rPr>
              <w:t xml:space="preserve">, что проекту </w:t>
            </w:r>
            <w:r w:rsidR="00CA04D0">
              <w:rPr>
                <w:rFonts w:ascii="Arial" w:hAnsi="Arial" w:cs="Arial"/>
              </w:rPr>
              <w:t>будет выделен грант</w:t>
            </w:r>
            <w:r w:rsidR="00A0483A" w:rsidRPr="00556F28">
              <w:rPr>
                <w:rFonts w:ascii="Arial" w:hAnsi="Arial" w:cs="Arial"/>
              </w:rPr>
              <w:t>. Кроме того</w:t>
            </w:r>
            <w:r w:rsidR="00CA04D0">
              <w:rPr>
                <w:rFonts w:ascii="Arial" w:hAnsi="Arial" w:cs="Arial"/>
              </w:rPr>
              <w:t>,</w:t>
            </w:r>
            <w:r w:rsidR="00A0483A" w:rsidRPr="00556F28">
              <w:rPr>
                <w:rFonts w:ascii="Arial" w:hAnsi="Arial" w:cs="Arial"/>
              </w:rPr>
              <w:t xml:space="preserve"> в случае отклонения заявки</w:t>
            </w:r>
            <w:r w:rsidR="00CA04D0">
              <w:rPr>
                <w:rFonts w:ascii="Arial" w:hAnsi="Arial" w:cs="Arial"/>
              </w:rPr>
              <w:t xml:space="preserve"> в Программе Польша-Россия</w:t>
            </w:r>
            <w:r w:rsidR="00A0483A" w:rsidRPr="00556F28">
              <w:rPr>
                <w:rFonts w:ascii="Arial" w:hAnsi="Arial" w:cs="Arial"/>
              </w:rPr>
              <w:t xml:space="preserve"> та же самая документация может быть использована </w:t>
            </w:r>
            <w:r w:rsidR="00DD300C" w:rsidRPr="00556F28">
              <w:rPr>
                <w:rFonts w:ascii="Arial" w:hAnsi="Arial" w:cs="Arial"/>
              </w:rPr>
              <w:t>для</w:t>
            </w:r>
            <w:r w:rsidR="00A0483A" w:rsidRPr="00556F28">
              <w:rPr>
                <w:rFonts w:ascii="Arial" w:hAnsi="Arial" w:cs="Arial"/>
              </w:rPr>
              <w:t xml:space="preserve"> подач</w:t>
            </w:r>
            <w:r w:rsidR="00DD300C" w:rsidRPr="00556F28">
              <w:rPr>
                <w:rFonts w:ascii="Arial" w:hAnsi="Arial" w:cs="Arial"/>
              </w:rPr>
              <w:t>и</w:t>
            </w:r>
            <w:r w:rsidR="00A0483A" w:rsidRPr="00556F28">
              <w:rPr>
                <w:rFonts w:ascii="Arial" w:hAnsi="Arial" w:cs="Arial"/>
              </w:rPr>
              <w:t xml:space="preserve"> заявок на </w:t>
            </w:r>
            <w:r w:rsidR="00DD300C" w:rsidRPr="00556F28">
              <w:rPr>
                <w:rFonts w:ascii="Arial" w:hAnsi="Arial" w:cs="Arial"/>
              </w:rPr>
              <w:t>финансирование в</w:t>
            </w:r>
            <w:r w:rsidR="00A0483A" w:rsidRPr="00556F28">
              <w:rPr>
                <w:rFonts w:ascii="Arial" w:hAnsi="Arial" w:cs="Arial"/>
              </w:rPr>
              <w:t xml:space="preserve"> други</w:t>
            </w:r>
            <w:r w:rsidR="00CA04D0">
              <w:rPr>
                <w:rFonts w:ascii="Arial" w:hAnsi="Arial" w:cs="Arial"/>
              </w:rPr>
              <w:t>х</w:t>
            </w:r>
            <w:r w:rsidR="00A0483A" w:rsidRPr="00556F28">
              <w:rPr>
                <w:rFonts w:ascii="Arial" w:hAnsi="Arial" w:cs="Arial"/>
              </w:rPr>
              <w:t xml:space="preserve"> фонд</w:t>
            </w:r>
            <w:r w:rsidR="00CA04D0">
              <w:rPr>
                <w:rFonts w:ascii="Arial" w:hAnsi="Arial" w:cs="Arial"/>
              </w:rPr>
              <w:t>ах</w:t>
            </w:r>
            <w:r w:rsidR="00A0483A" w:rsidRPr="00556F28">
              <w:rPr>
                <w:rFonts w:ascii="Arial" w:hAnsi="Arial" w:cs="Arial"/>
              </w:rPr>
              <w:t>.</w:t>
            </w:r>
          </w:p>
          <w:p w:rsidR="00664403" w:rsidRDefault="006F088E" w:rsidP="00441699">
            <w:p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Не требуется</w:t>
            </w:r>
            <w:r w:rsidR="00441699">
              <w:rPr>
                <w:rFonts w:ascii="Arial" w:hAnsi="Arial" w:cs="Arial"/>
              </w:rPr>
              <w:t xml:space="preserve"> оплачивать эту документацию</w:t>
            </w:r>
            <w:r w:rsidRPr="00556F28">
              <w:rPr>
                <w:rFonts w:ascii="Arial" w:hAnsi="Arial" w:cs="Arial"/>
              </w:rPr>
              <w:t xml:space="preserve"> с отдельного сч</w:t>
            </w:r>
            <w:r w:rsidR="00D82028">
              <w:rPr>
                <w:rFonts w:ascii="Arial" w:hAnsi="Arial" w:cs="Arial"/>
              </w:rPr>
              <w:t>ета. Она может быть оплачена с «</w:t>
            </w:r>
            <w:r w:rsidRPr="00556F28">
              <w:rPr>
                <w:rFonts w:ascii="Arial" w:hAnsi="Arial" w:cs="Arial"/>
              </w:rPr>
              <w:t>общего счета</w:t>
            </w:r>
            <w:r w:rsidR="00D82028">
              <w:rPr>
                <w:rFonts w:ascii="Arial" w:hAnsi="Arial" w:cs="Arial"/>
              </w:rPr>
              <w:t>» организации</w:t>
            </w:r>
            <w:r w:rsidRPr="00556F28">
              <w:rPr>
                <w:rFonts w:ascii="Arial" w:hAnsi="Arial" w:cs="Arial"/>
              </w:rPr>
              <w:t>, и</w:t>
            </w:r>
            <w:r w:rsidR="00E5023C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если проекту </w:t>
            </w:r>
            <w:r w:rsidR="00441699">
              <w:rPr>
                <w:rFonts w:ascii="Arial" w:hAnsi="Arial" w:cs="Arial"/>
              </w:rPr>
              <w:t>будет выделен</w:t>
            </w:r>
            <w:r w:rsidRPr="00556F28">
              <w:rPr>
                <w:rFonts w:ascii="Arial" w:hAnsi="Arial" w:cs="Arial"/>
              </w:rPr>
              <w:t xml:space="preserve"> грант, такие расходы будут за</w:t>
            </w:r>
            <w:r w:rsidR="00664403">
              <w:rPr>
                <w:rFonts w:ascii="Arial" w:hAnsi="Arial" w:cs="Arial"/>
              </w:rPr>
              <w:t>тем переведены на счет проекта.</w:t>
            </w:r>
          </w:p>
          <w:p w:rsidR="00664403" w:rsidRDefault="006F088E" w:rsidP="00441699">
            <w:p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 xml:space="preserve">Нет разницы между приемлемостью </w:t>
            </w:r>
            <w:r w:rsidR="00D82028">
              <w:rPr>
                <w:rFonts w:ascii="Arial" w:hAnsi="Arial" w:cs="Arial"/>
              </w:rPr>
              <w:t xml:space="preserve">расходов по разработке </w:t>
            </w:r>
            <w:r w:rsidRPr="00556F28">
              <w:rPr>
                <w:rFonts w:ascii="Arial" w:hAnsi="Arial" w:cs="Arial"/>
              </w:rPr>
              <w:t>документации и другими расходами по проекту</w:t>
            </w:r>
            <w:r w:rsidR="00D82028">
              <w:rPr>
                <w:rFonts w:ascii="Arial" w:hAnsi="Arial" w:cs="Arial"/>
              </w:rPr>
              <w:t xml:space="preserve">: </w:t>
            </w:r>
            <w:r w:rsidRPr="00556F28">
              <w:rPr>
                <w:rFonts w:ascii="Arial" w:hAnsi="Arial" w:cs="Arial"/>
              </w:rPr>
              <w:t xml:space="preserve">расходы должны быть рациональными, подтвержденными </w:t>
            </w:r>
            <w:r w:rsidR="00441699">
              <w:rPr>
                <w:rFonts w:ascii="Arial" w:hAnsi="Arial" w:cs="Arial"/>
              </w:rPr>
              <w:t>финансовыми документами (счет</w:t>
            </w:r>
            <w:r w:rsidR="00D82028">
              <w:rPr>
                <w:rFonts w:ascii="Arial" w:hAnsi="Arial" w:cs="Arial"/>
              </w:rPr>
              <w:t>-фактура</w:t>
            </w:r>
            <w:r w:rsidRPr="00556F28">
              <w:rPr>
                <w:rFonts w:ascii="Arial" w:hAnsi="Arial" w:cs="Arial"/>
              </w:rPr>
              <w:t xml:space="preserve">, </w:t>
            </w:r>
            <w:r w:rsidR="00D82028">
              <w:rPr>
                <w:rFonts w:ascii="Arial" w:hAnsi="Arial" w:cs="Arial"/>
              </w:rPr>
              <w:t xml:space="preserve">подтверждение </w:t>
            </w:r>
            <w:r w:rsidRPr="00556F28">
              <w:rPr>
                <w:rFonts w:ascii="Arial" w:hAnsi="Arial" w:cs="Arial"/>
              </w:rPr>
              <w:t>банковск</w:t>
            </w:r>
            <w:r w:rsidR="00D82028">
              <w:rPr>
                <w:rFonts w:ascii="Arial" w:hAnsi="Arial" w:cs="Arial"/>
              </w:rPr>
              <w:t>ого</w:t>
            </w:r>
            <w:r w:rsidRPr="00556F28">
              <w:rPr>
                <w:rFonts w:ascii="Arial" w:hAnsi="Arial" w:cs="Arial"/>
              </w:rPr>
              <w:t xml:space="preserve"> перевод</w:t>
            </w:r>
            <w:r w:rsidR="00D82028">
              <w:rPr>
                <w:rFonts w:ascii="Arial" w:hAnsi="Arial" w:cs="Arial"/>
              </w:rPr>
              <w:t>а</w:t>
            </w:r>
            <w:r w:rsidRPr="00556F28">
              <w:rPr>
                <w:rFonts w:ascii="Arial" w:hAnsi="Arial" w:cs="Arial"/>
              </w:rPr>
              <w:t xml:space="preserve"> и т.д.) и подготовленными в соответствии с правилами государственных закупок. </w:t>
            </w:r>
          </w:p>
          <w:p w:rsidR="00987EBE" w:rsidRDefault="006F088E" w:rsidP="00E5023C">
            <w:pPr>
              <w:jc w:val="both"/>
              <w:rPr>
                <w:rFonts w:ascii="Arial" w:hAnsi="Arial" w:cs="Arial"/>
                <w:lang w:val="pl-PL"/>
              </w:rPr>
            </w:pPr>
            <w:r w:rsidRPr="00556F28">
              <w:rPr>
                <w:rFonts w:ascii="Arial" w:hAnsi="Arial" w:cs="Arial"/>
              </w:rPr>
              <w:t xml:space="preserve">Нет финансового лимита суммы по </w:t>
            </w:r>
            <w:r w:rsidR="00441699">
              <w:rPr>
                <w:rFonts w:ascii="Arial" w:hAnsi="Arial" w:cs="Arial"/>
              </w:rPr>
              <w:t>р</w:t>
            </w:r>
            <w:r w:rsidRPr="00556F28">
              <w:rPr>
                <w:rFonts w:ascii="Arial" w:hAnsi="Arial" w:cs="Arial"/>
              </w:rPr>
              <w:t>асходам на подготовку технической документации.</w:t>
            </w:r>
            <w:r w:rsidR="00D82028">
              <w:rPr>
                <w:rFonts w:ascii="Arial" w:hAnsi="Arial" w:cs="Arial"/>
              </w:rPr>
              <w:t xml:space="preserve"> </w:t>
            </w:r>
            <w:r w:rsidRPr="00556F28">
              <w:rPr>
                <w:rFonts w:ascii="Arial" w:hAnsi="Arial" w:cs="Arial"/>
              </w:rPr>
              <w:t xml:space="preserve">Если расходы на техническую документацию включаются в бюджет проекта, то это влияет на его </w:t>
            </w:r>
            <w:r w:rsidRPr="00556F28">
              <w:rPr>
                <w:rFonts w:ascii="Arial" w:hAnsi="Arial" w:cs="Arial"/>
              </w:rPr>
              <w:lastRenderedPageBreak/>
              <w:t>размер</w:t>
            </w:r>
            <w:r w:rsidR="00441699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так как соответственно </w:t>
            </w:r>
            <w:r w:rsidR="00E5023C">
              <w:rPr>
                <w:rFonts w:ascii="Arial" w:hAnsi="Arial" w:cs="Arial"/>
              </w:rPr>
              <w:t xml:space="preserve">увеличивается общая сумма </w:t>
            </w:r>
            <w:r w:rsidRPr="00556F28">
              <w:rPr>
                <w:rFonts w:ascii="Arial" w:hAnsi="Arial" w:cs="Arial"/>
              </w:rPr>
              <w:t>расход</w:t>
            </w:r>
            <w:r w:rsidR="00E5023C">
              <w:rPr>
                <w:rFonts w:ascii="Arial" w:hAnsi="Arial" w:cs="Arial"/>
              </w:rPr>
              <w:t>ов</w:t>
            </w:r>
            <w:r w:rsidRPr="00556F28">
              <w:rPr>
                <w:rFonts w:ascii="Arial" w:hAnsi="Arial" w:cs="Arial"/>
              </w:rPr>
              <w:t>.</w:t>
            </w:r>
          </w:p>
          <w:p w:rsidR="007A64AE" w:rsidRPr="007A64AE" w:rsidRDefault="007A64AE" w:rsidP="00E5023C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335AEE" w:rsidRPr="00072BED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254404" w:rsidRPr="007A64AE" w:rsidRDefault="007A64AE" w:rsidP="007A64AE">
            <w:pPr>
              <w:jc w:val="both"/>
              <w:rPr>
                <w:rFonts w:ascii="Arial" w:hAnsi="Arial" w:cs="Arial"/>
                <w:b/>
              </w:rPr>
            </w:pPr>
            <w:r w:rsidRPr="007A64AE">
              <w:rPr>
                <w:rFonts w:ascii="Arial" w:hAnsi="Arial" w:cs="Arial"/>
                <w:b/>
              </w:rPr>
              <w:lastRenderedPageBreak/>
              <w:t xml:space="preserve">8. </w:t>
            </w:r>
            <w:r w:rsidR="00DD28F7" w:rsidRPr="007A64AE">
              <w:rPr>
                <w:rFonts w:ascii="Arial" w:hAnsi="Arial" w:cs="Arial"/>
                <w:b/>
              </w:rPr>
              <w:t xml:space="preserve">Могут ли </w:t>
            </w:r>
            <w:r w:rsidR="00D82028" w:rsidRPr="007A64AE">
              <w:rPr>
                <w:rFonts w:ascii="Arial" w:hAnsi="Arial" w:cs="Arial"/>
                <w:b/>
              </w:rPr>
              <w:t>«</w:t>
            </w:r>
            <w:r w:rsidR="00DD28F7" w:rsidRPr="007A64AE">
              <w:rPr>
                <w:rFonts w:ascii="Arial" w:hAnsi="Arial" w:cs="Arial"/>
                <w:b/>
              </w:rPr>
              <w:t>подготовительные расходы</w:t>
            </w:r>
            <w:r w:rsidR="00D82028" w:rsidRPr="007A64AE">
              <w:rPr>
                <w:rFonts w:ascii="Arial" w:hAnsi="Arial" w:cs="Arial"/>
                <w:b/>
              </w:rPr>
              <w:t>»</w:t>
            </w:r>
            <w:r w:rsidR="00DD28F7" w:rsidRPr="007A64AE">
              <w:rPr>
                <w:rFonts w:ascii="Arial" w:hAnsi="Arial" w:cs="Arial"/>
                <w:b/>
              </w:rPr>
              <w:t xml:space="preserve"> быть выше или ниже 5000€?</w:t>
            </w:r>
            <w:r w:rsidR="007D4F1F" w:rsidRPr="007A64AE">
              <w:rPr>
                <w:rFonts w:ascii="Arial" w:hAnsi="Arial" w:cs="Arial"/>
                <w:b/>
              </w:rPr>
              <w:t xml:space="preserve"> </w:t>
            </w:r>
            <w:r w:rsidR="00D82028" w:rsidRPr="007A64AE">
              <w:rPr>
                <w:rFonts w:ascii="Arial" w:hAnsi="Arial" w:cs="Arial"/>
                <w:b/>
              </w:rPr>
              <w:t>Эт</w:t>
            </w:r>
            <w:r w:rsidR="00DD28F7" w:rsidRPr="007A64AE">
              <w:rPr>
                <w:rFonts w:ascii="Arial" w:hAnsi="Arial" w:cs="Arial"/>
                <w:b/>
              </w:rPr>
              <w:t xml:space="preserve">и расходы </w:t>
            </w:r>
            <w:r w:rsidR="00D82028" w:rsidRPr="007A64AE">
              <w:rPr>
                <w:rFonts w:ascii="Arial" w:hAnsi="Arial" w:cs="Arial"/>
                <w:b/>
              </w:rPr>
              <w:t xml:space="preserve">должны </w:t>
            </w:r>
            <w:r w:rsidR="007D4F1F" w:rsidRPr="007A64AE">
              <w:rPr>
                <w:rFonts w:ascii="Arial" w:hAnsi="Arial" w:cs="Arial"/>
                <w:b/>
              </w:rPr>
              <w:t>быть понесены</w:t>
            </w:r>
            <w:r w:rsidR="00DD28F7" w:rsidRPr="007A64AE">
              <w:rPr>
                <w:rFonts w:ascii="Arial" w:hAnsi="Arial" w:cs="Arial"/>
                <w:b/>
              </w:rPr>
              <w:t xml:space="preserve"> до или после об</w:t>
            </w:r>
            <w:r w:rsidR="007D4F1F" w:rsidRPr="007A64AE">
              <w:rPr>
                <w:rFonts w:ascii="Arial" w:hAnsi="Arial" w:cs="Arial"/>
                <w:b/>
              </w:rPr>
              <w:t>ъ</w:t>
            </w:r>
            <w:r w:rsidR="00DD28F7" w:rsidRPr="007A64AE">
              <w:rPr>
                <w:rFonts w:ascii="Arial" w:hAnsi="Arial" w:cs="Arial"/>
                <w:b/>
              </w:rPr>
              <w:t>явления конкурса заявок?</w:t>
            </w:r>
          </w:p>
        </w:tc>
      </w:tr>
      <w:tr w:rsidR="00335AEE" w:rsidRPr="00072BED" w:rsidTr="00664403">
        <w:trPr>
          <w:trHeight w:val="266"/>
        </w:trPr>
        <w:tc>
          <w:tcPr>
            <w:tcW w:w="10144" w:type="dxa"/>
            <w:shd w:val="clear" w:color="auto" w:fill="auto"/>
          </w:tcPr>
          <w:p w:rsidR="00664403" w:rsidRDefault="00FA2245" w:rsidP="00664403">
            <w:p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 xml:space="preserve">Пункт 6.2.2 </w:t>
            </w:r>
            <w:r w:rsidR="00D82028">
              <w:rPr>
                <w:rFonts w:ascii="Arial" w:hAnsi="Arial" w:cs="Arial"/>
              </w:rPr>
              <w:t>«</w:t>
            </w:r>
            <w:r w:rsidRPr="00556F28">
              <w:rPr>
                <w:rFonts w:ascii="Arial" w:hAnsi="Arial" w:cs="Arial"/>
              </w:rPr>
              <w:t>Руководства по П</w:t>
            </w:r>
            <w:r w:rsidR="007D4F1F" w:rsidRPr="00556F28">
              <w:rPr>
                <w:rFonts w:ascii="Arial" w:hAnsi="Arial" w:cs="Arial"/>
              </w:rPr>
              <w:t>рограмме</w:t>
            </w:r>
            <w:r w:rsidR="00D82028">
              <w:rPr>
                <w:rFonts w:ascii="Arial" w:hAnsi="Arial" w:cs="Arial"/>
              </w:rPr>
              <w:t>.</w:t>
            </w:r>
            <w:r w:rsidR="007D4F1F" w:rsidRPr="00556F28">
              <w:rPr>
                <w:rFonts w:ascii="Arial" w:hAnsi="Arial" w:cs="Arial"/>
              </w:rPr>
              <w:t xml:space="preserve"> Часть I</w:t>
            </w:r>
            <w:r w:rsidR="00D82028">
              <w:rPr>
                <w:rFonts w:ascii="Arial" w:hAnsi="Arial" w:cs="Arial"/>
              </w:rPr>
              <w:t>.</w:t>
            </w:r>
            <w:r w:rsidR="007D4F1F" w:rsidRPr="00556F28">
              <w:rPr>
                <w:rFonts w:ascii="Arial" w:hAnsi="Arial" w:cs="Arial"/>
              </w:rPr>
              <w:t xml:space="preserve"> </w:t>
            </w:r>
            <w:r w:rsidR="00D82028">
              <w:rPr>
                <w:rFonts w:ascii="Arial" w:hAnsi="Arial" w:cs="Arial"/>
              </w:rPr>
              <w:t>Д</w:t>
            </w:r>
            <w:r w:rsidR="00441699">
              <w:rPr>
                <w:rFonts w:ascii="Arial" w:hAnsi="Arial" w:cs="Arial"/>
              </w:rPr>
              <w:t xml:space="preserve">ля </w:t>
            </w:r>
            <w:r w:rsidR="007D4F1F" w:rsidRPr="00556F28">
              <w:rPr>
                <w:rFonts w:ascii="Arial" w:hAnsi="Arial" w:cs="Arial"/>
              </w:rPr>
              <w:t>заявителей</w:t>
            </w:r>
            <w:r w:rsidR="00D82028">
              <w:rPr>
                <w:rFonts w:ascii="Arial" w:hAnsi="Arial" w:cs="Arial"/>
              </w:rPr>
              <w:t>»</w:t>
            </w:r>
            <w:r w:rsidRPr="00556F28">
              <w:rPr>
                <w:rFonts w:ascii="Arial" w:hAnsi="Arial" w:cs="Arial"/>
              </w:rPr>
              <w:t xml:space="preserve"> уточняет</w:t>
            </w:r>
            <w:r w:rsidR="007D4F1F" w:rsidRPr="00556F28">
              <w:rPr>
                <w:rFonts w:ascii="Arial" w:hAnsi="Arial" w:cs="Arial"/>
              </w:rPr>
              <w:t>,</w:t>
            </w:r>
            <w:r w:rsidRPr="00556F28">
              <w:rPr>
                <w:rFonts w:ascii="Arial" w:hAnsi="Arial" w:cs="Arial"/>
              </w:rPr>
              <w:t xml:space="preserve"> когда можно </w:t>
            </w:r>
            <w:r w:rsidR="007D4F1F" w:rsidRPr="00556F28">
              <w:rPr>
                <w:rFonts w:ascii="Arial" w:hAnsi="Arial" w:cs="Arial"/>
              </w:rPr>
              <w:t>по</w:t>
            </w:r>
            <w:r w:rsidRPr="00556F28">
              <w:rPr>
                <w:rFonts w:ascii="Arial" w:hAnsi="Arial" w:cs="Arial"/>
              </w:rPr>
              <w:t xml:space="preserve">нести </w:t>
            </w:r>
            <w:r w:rsidR="00441699">
              <w:rPr>
                <w:rFonts w:ascii="Arial" w:hAnsi="Arial" w:cs="Arial"/>
              </w:rPr>
              <w:t>подготовительные расходы</w:t>
            </w:r>
            <w:r w:rsidR="007D4F1F" w:rsidRPr="00556F28">
              <w:rPr>
                <w:rFonts w:ascii="Arial" w:hAnsi="Arial" w:cs="Arial"/>
              </w:rPr>
              <w:t>, в каком размере</w:t>
            </w:r>
            <w:r w:rsidRPr="00556F28">
              <w:rPr>
                <w:rFonts w:ascii="Arial" w:hAnsi="Arial" w:cs="Arial"/>
              </w:rPr>
              <w:t xml:space="preserve"> и какие </w:t>
            </w:r>
            <w:r w:rsidR="007D4F1F" w:rsidRPr="00556F28">
              <w:rPr>
                <w:rFonts w:ascii="Arial" w:hAnsi="Arial" w:cs="Arial"/>
              </w:rPr>
              <w:t>за</w:t>
            </w:r>
            <w:r w:rsidRPr="00556F28">
              <w:rPr>
                <w:rFonts w:ascii="Arial" w:hAnsi="Arial" w:cs="Arial"/>
              </w:rPr>
              <w:t xml:space="preserve">траты </w:t>
            </w:r>
            <w:r w:rsidR="00E5023C">
              <w:rPr>
                <w:rFonts w:ascii="Arial" w:hAnsi="Arial" w:cs="Arial"/>
              </w:rPr>
              <w:t>подразумеваются</w:t>
            </w:r>
            <w:r w:rsidRPr="00556F28">
              <w:rPr>
                <w:rFonts w:ascii="Arial" w:hAnsi="Arial" w:cs="Arial"/>
              </w:rPr>
              <w:t xml:space="preserve">. Подготовительные расходы </w:t>
            </w:r>
            <w:r w:rsidR="007D4F1F" w:rsidRPr="00556F28">
              <w:rPr>
                <w:rFonts w:ascii="Arial" w:hAnsi="Arial" w:cs="Arial"/>
              </w:rPr>
              <w:t>нацелены на подготовку</w:t>
            </w:r>
            <w:r w:rsidRPr="00556F28">
              <w:rPr>
                <w:rFonts w:ascii="Arial" w:hAnsi="Arial" w:cs="Arial"/>
              </w:rPr>
              <w:t xml:space="preserve"> </w:t>
            </w:r>
            <w:r w:rsidR="007D4F1F" w:rsidRPr="00556F28">
              <w:rPr>
                <w:rFonts w:ascii="Arial" w:hAnsi="Arial" w:cs="Arial"/>
              </w:rPr>
              <w:t>сильного</w:t>
            </w:r>
            <w:r w:rsidRPr="00556F28">
              <w:rPr>
                <w:rFonts w:ascii="Arial" w:hAnsi="Arial" w:cs="Arial"/>
              </w:rPr>
              <w:t xml:space="preserve"> партнерства бенефициарами до подачи проектной заявки. Они охватывают </w:t>
            </w:r>
            <w:r w:rsidR="002F0485" w:rsidRPr="00556F28">
              <w:rPr>
                <w:rFonts w:ascii="Arial" w:hAnsi="Arial" w:cs="Arial"/>
              </w:rPr>
              <w:t>транспортные и командировочные расходы</w:t>
            </w:r>
            <w:r w:rsidRPr="00556F28">
              <w:rPr>
                <w:rFonts w:ascii="Arial" w:hAnsi="Arial" w:cs="Arial"/>
              </w:rPr>
              <w:t xml:space="preserve"> для работников, </w:t>
            </w:r>
            <w:r w:rsidR="002F0485" w:rsidRPr="00556F28">
              <w:rPr>
                <w:rFonts w:ascii="Arial" w:hAnsi="Arial" w:cs="Arial"/>
              </w:rPr>
              <w:t>понесенные</w:t>
            </w:r>
            <w:r w:rsidRPr="00556F28">
              <w:rPr>
                <w:rFonts w:ascii="Arial" w:hAnsi="Arial" w:cs="Arial"/>
              </w:rPr>
              <w:t xml:space="preserve"> в связи со встречами </w:t>
            </w:r>
            <w:r w:rsidR="00D82028">
              <w:rPr>
                <w:rFonts w:ascii="Arial" w:hAnsi="Arial" w:cs="Arial"/>
              </w:rPr>
              <w:t xml:space="preserve">представителей </w:t>
            </w:r>
            <w:r w:rsidRPr="00556F28">
              <w:rPr>
                <w:rFonts w:ascii="Arial" w:hAnsi="Arial" w:cs="Arial"/>
              </w:rPr>
              <w:t>бенефициаров</w:t>
            </w:r>
            <w:r w:rsidR="002F0485" w:rsidRPr="00556F28">
              <w:rPr>
                <w:rFonts w:ascii="Arial" w:hAnsi="Arial" w:cs="Arial"/>
              </w:rPr>
              <w:t xml:space="preserve"> с</w:t>
            </w:r>
            <w:r w:rsidRPr="00556F28">
              <w:rPr>
                <w:rFonts w:ascii="Arial" w:hAnsi="Arial" w:cs="Arial"/>
              </w:rPr>
              <w:t xml:space="preserve"> целью п</w:t>
            </w:r>
            <w:r w:rsidR="002F0485" w:rsidRPr="00556F28">
              <w:rPr>
                <w:rFonts w:ascii="Arial" w:hAnsi="Arial" w:cs="Arial"/>
              </w:rPr>
              <w:t>одготовки</w:t>
            </w:r>
            <w:r w:rsidRPr="00556F28">
              <w:rPr>
                <w:rFonts w:ascii="Arial" w:hAnsi="Arial" w:cs="Arial"/>
              </w:rPr>
              <w:t xml:space="preserve"> проектной </w:t>
            </w:r>
            <w:r w:rsidR="002F0485" w:rsidRPr="00556F28">
              <w:rPr>
                <w:rFonts w:ascii="Arial" w:hAnsi="Arial" w:cs="Arial"/>
              </w:rPr>
              <w:t>заявки</w:t>
            </w:r>
            <w:r w:rsidRPr="00556F28">
              <w:rPr>
                <w:rFonts w:ascii="Arial" w:hAnsi="Arial" w:cs="Arial"/>
              </w:rPr>
              <w:t>. П</w:t>
            </w:r>
            <w:r w:rsidR="002106A8" w:rsidRPr="00556F28">
              <w:rPr>
                <w:rFonts w:ascii="Arial" w:hAnsi="Arial" w:cs="Arial"/>
              </w:rPr>
              <w:t>одготовительные</w:t>
            </w:r>
            <w:r w:rsidRPr="00556F28">
              <w:rPr>
                <w:rFonts w:ascii="Arial" w:hAnsi="Arial" w:cs="Arial"/>
              </w:rPr>
              <w:t xml:space="preserve"> расходы по регулярным проектам являются приемлемыми только после об</w:t>
            </w:r>
            <w:r w:rsidR="002106A8" w:rsidRPr="00556F28">
              <w:rPr>
                <w:rFonts w:ascii="Arial" w:hAnsi="Arial" w:cs="Arial"/>
              </w:rPr>
              <w:t>ъ</w:t>
            </w:r>
            <w:r w:rsidR="00664403">
              <w:rPr>
                <w:rFonts w:ascii="Arial" w:hAnsi="Arial" w:cs="Arial"/>
              </w:rPr>
              <w:t>явления конкурса заявок.</w:t>
            </w:r>
          </w:p>
          <w:p w:rsidR="008C0793" w:rsidRDefault="002106A8" w:rsidP="00D82028">
            <w:p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 xml:space="preserve">Размер </w:t>
            </w:r>
            <w:r w:rsidR="00FA2245" w:rsidRPr="00556F28">
              <w:rPr>
                <w:rFonts w:ascii="Arial" w:hAnsi="Arial" w:cs="Arial"/>
              </w:rPr>
              <w:t xml:space="preserve">этих расходов составляет 5000 евро на весь проект (не </w:t>
            </w:r>
            <w:r w:rsidRPr="00556F28">
              <w:rPr>
                <w:rFonts w:ascii="Arial" w:hAnsi="Arial" w:cs="Arial"/>
              </w:rPr>
              <w:t xml:space="preserve">менее </w:t>
            </w:r>
            <w:r w:rsidR="00D82028">
              <w:rPr>
                <w:rFonts w:ascii="Arial" w:hAnsi="Arial" w:cs="Arial"/>
              </w:rPr>
              <w:t xml:space="preserve">или более </w:t>
            </w:r>
            <w:r w:rsidR="00FA2245" w:rsidRPr="00556F28">
              <w:rPr>
                <w:rFonts w:ascii="Arial" w:hAnsi="Arial" w:cs="Arial"/>
              </w:rPr>
              <w:t>5000</w:t>
            </w:r>
            <w:r w:rsidR="00D82028">
              <w:rPr>
                <w:rFonts w:ascii="Arial" w:hAnsi="Arial" w:cs="Arial"/>
              </w:rPr>
              <w:t xml:space="preserve"> евро,</w:t>
            </w:r>
            <w:r w:rsidR="00FA2245" w:rsidRPr="00556F28">
              <w:rPr>
                <w:rFonts w:ascii="Arial" w:hAnsi="Arial" w:cs="Arial"/>
              </w:rPr>
              <w:t xml:space="preserve"> а точно 5000 евро)</w:t>
            </w:r>
            <w:r w:rsidRPr="00556F28">
              <w:rPr>
                <w:rFonts w:ascii="Arial" w:hAnsi="Arial" w:cs="Arial"/>
              </w:rPr>
              <w:t>.</w:t>
            </w:r>
            <w:r w:rsidR="00FA2245" w:rsidRPr="00556F28">
              <w:rPr>
                <w:rFonts w:ascii="Arial" w:hAnsi="Arial" w:cs="Arial"/>
              </w:rPr>
              <w:t xml:space="preserve"> </w:t>
            </w:r>
            <w:r w:rsidRPr="00556F28">
              <w:rPr>
                <w:rFonts w:ascii="Arial" w:hAnsi="Arial" w:cs="Arial"/>
              </w:rPr>
              <w:t>Они компенсируются в форме</w:t>
            </w:r>
            <w:r w:rsidR="00FA2245" w:rsidRPr="00556F28">
              <w:rPr>
                <w:rFonts w:ascii="Arial" w:hAnsi="Arial" w:cs="Arial"/>
              </w:rPr>
              <w:t xml:space="preserve"> един</w:t>
            </w:r>
            <w:r w:rsidRPr="00556F28">
              <w:rPr>
                <w:rFonts w:ascii="Arial" w:hAnsi="Arial" w:cs="Arial"/>
              </w:rPr>
              <w:t xml:space="preserve">овременно выплачиваемой суммы, </w:t>
            </w:r>
            <w:r w:rsidR="00D82028">
              <w:rPr>
                <w:rFonts w:ascii="Arial" w:hAnsi="Arial" w:cs="Arial"/>
              </w:rPr>
              <w:t xml:space="preserve">и </w:t>
            </w:r>
            <w:r w:rsidR="00FA2245" w:rsidRPr="00556F28">
              <w:rPr>
                <w:rFonts w:ascii="Arial" w:hAnsi="Arial" w:cs="Arial"/>
              </w:rPr>
              <w:t>нет требования удостоверять понесенные расходы</w:t>
            </w:r>
            <w:r w:rsidRPr="00556F28">
              <w:rPr>
                <w:rFonts w:ascii="Arial" w:hAnsi="Arial" w:cs="Arial"/>
              </w:rPr>
              <w:t>,</w:t>
            </w:r>
            <w:r w:rsidR="00FA2245" w:rsidRPr="00556F28">
              <w:rPr>
                <w:rFonts w:ascii="Arial" w:hAnsi="Arial" w:cs="Arial"/>
              </w:rPr>
              <w:t xml:space="preserve"> предоставляя финансовые документы. Однако бенефициарам</w:t>
            </w:r>
            <w:r w:rsidR="00661C36" w:rsidRPr="00556F28">
              <w:rPr>
                <w:rFonts w:ascii="Arial" w:hAnsi="Arial" w:cs="Arial"/>
              </w:rPr>
              <w:t xml:space="preserve"> пр</w:t>
            </w:r>
            <w:r w:rsidR="00664403">
              <w:rPr>
                <w:rFonts w:ascii="Arial" w:hAnsi="Arial" w:cs="Arial"/>
              </w:rPr>
              <w:t>е</w:t>
            </w:r>
            <w:r w:rsidR="00661C36" w:rsidRPr="00556F28">
              <w:rPr>
                <w:rFonts w:ascii="Arial" w:hAnsi="Arial" w:cs="Arial"/>
              </w:rPr>
              <w:t>длагается</w:t>
            </w:r>
            <w:r w:rsidR="00FA2245" w:rsidRPr="00556F28">
              <w:rPr>
                <w:rFonts w:ascii="Arial" w:hAnsi="Arial" w:cs="Arial"/>
              </w:rPr>
              <w:t xml:space="preserve">, чтобы </w:t>
            </w:r>
            <w:r w:rsidRPr="00556F28">
              <w:rPr>
                <w:rFonts w:ascii="Arial" w:hAnsi="Arial" w:cs="Arial"/>
              </w:rPr>
              <w:t xml:space="preserve">они </w:t>
            </w:r>
            <w:r w:rsidR="00FA2245" w:rsidRPr="00556F28">
              <w:rPr>
                <w:rFonts w:ascii="Arial" w:hAnsi="Arial" w:cs="Arial"/>
              </w:rPr>
              <w:t>по</w:t>
            </w:r>
            <w:r w:rsidRPr="00556F28">
              <w:rPr>
                <w:rFonts w:ascii="Arial" w:hAnsi="Arial" w:cs="Arial"/>
              </w:rPr>
              <w:t>дтверждали совмест</w:t>
            </w:r>
            <w:r w:rsidR="003143BE">
              <w:rPr>
                <w:rFonts w:ascii="Arial" w:hAnsi="Arial" w:cs="Arial"/>
              </w:rPr>
              <w:t>н</w:t>
            </w:r>
            <w:bookmarkStart w:id="0" w:name="_GoBack"/>
            <w:bookmarkEnd w:id="0"/>
            <w:r w:rsidRPr="00556F28">
              <w:rPr>
                <w:rFonts w:ascii="Arial" w:hAnsi="Arial" w:cs="Arial"/>
              </w:rPr>
              <w:t>ое составле</w:t>
            </w:r>
            <w:r w:rsidR="00FA2245" w:rsidRPr="00556F28">
              <w:rPr>
                <w:rFonts w:ascii="Arial" w:hAnsi="Arial" w:cs="Arial"/>
              </w:rPr>
              <w:t xml:space="preserve">ние заявок в </w:t>
            </w:r>
            <w:r w:rsidRPr="00556F28">
              <w:rPr>
                <w:rFonts w:ascii="Arial" w:hAnsi="Arial" w:cs="Arial"/>
              </w:rPr>
              <w:t>виде</w:t>
            </w:r>
            <w:r w:rsidR="00FA2245" w:rsidRPr="00556F28">
              <w:rPr>
                <w:rFonts w:ascii="Arial" w:hAnsi="Arial" w:cs="Arial"/>
              </w:rPr>
              <w:t xml:space="preserve"> фотографий, </w:t>
            </w:r>
            <w:r w:rsidR="00664403">
              <w:rPr>
                <w:rFonts w:ascii="Arial" w:hAnsi="Arial" w:cs="Arial"/>
              </w:rPr>
              <w:t>протоколов</w:t>
            </w:r>
            <w:r w:rsidR="00D82028">
              <w:rPr>
                <w:rFonts w:ascii="Arial" w:hAnsi="Arial" w:cs="Arial"/>
              </w:rPr>
              <w:t xml:space="preserve"> встреч, </w:t>
            </w:r>
            <w:r w:rsidR="00D82028" w:rsidRPr="00556F28">
              <w:rPr>
                <w:rFonts w:ascii="Arial" w:hAnsi="Arial" w:cs="Arial"/>
              </w:rPr>
              <w:t>списков присутствующих</w:t>
            </w:r>
            <w:r w:rsidR="00D82028">
              <w:rPr>
                <w:rFonts w:ascii="Arial" w:hAnsi="Arial" w:cs="Arial"/>
              </w:rPr>
              <w:t xml:space="preserve"> и т.д.</w:t>
            </w:r>
          </w:p>
          <w:p w:rsidR="00D82028" w:rsidRDefault="00D82028" w:rsidP="00E5023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Реальные расходы, п</w:t>
            </w:r>
            <w:r w:rsidR="00E5023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несенные бенефициарами, могут быть выше или ниже 5000 евро, но вне зависимости от суммы понесенных расходов сумма запрашиваемых «подготовительных расходов» составля</w:t>
            </w:r>
            <w:r w:rsidR="00E5023C">
              <w:rPr>
                <w:rFonts w:ascii="Arial" w:hAnsi="Arial" w:cs="Arial"/>
              </w:rPr>
              <w:t>ет</w:t>
            </w:r>
            <w:r>
              <w:rPr>
                <w:rFonts w:ascii="Arial" w:hAnsi="Arial" w:cs="Arial"/>
              </w:rPr>
              <w:t xml:space="preserve"> 5000 евро. </w:t>
            </w:r>
          </w:p>
          <w:p w:rsidR="007A64AE" w:rsidRPr="007A64AE" w:rsidRDefault="007A64AE" w:rsidP="00E5023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35AEE" w:rsidRPr="00072BED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AF2465" w:rsidRPr="007A64AE" w:rsidRDefault="007A64AE" w:rsidP="007A64AE">
            <w:pPr>
              <w:jc w:val="both"/>
              <w:rPr>
                <w:rFonts w:ascii="Arial" w:hAnsi="Arial" w:cs="Arial"/>
                <w:b/>
              </w:rPr>
            </w:pPr>
            <w:r w:rsidRPr="007A64AE">
              <w:rPr>
                <w:rFonts w:ascii="Arial" w:hAnsi="Arial" w:cs="Arial"/>
                <w:b/>
              </w:rPr>
              <w:t xml:space="preserve">9. </w:t>
            </w:r>
            <w:r w:rsidR="00661C36" w:rsidRPr="007A64AE">
              <w:rPr>
                <w:rFonts w:ascii="Arial" w:hAnsi="Arial" w:cs="Arial"/>
                <w:b/>
              </w:rPr>
              <w:t>Может</w:t>
            </w:r>
            <w:r w:rsidR="00FA2245" w:rsidRPr="007A64AE">
              <w:rPr>
                <w:rFonts w:ascii="Arial" w:hAnsi="Arial" w:cs="Arial"/>
                <w:b/>
              </w:rPr>
              <w:t xml:space="preserve"> ли часть действий реализовать</w:t>
            </w:r>
            <w:r w:rsidR="00661C36" w:rsidRPr="007A64AE">
              <w:rPr>
                <w:rFonts w:ascii="Arial" w:hAnsi="Arial" w:cs="Arial"/>
                <w:b/>
              </w:rPr>
              <w:t>ся вне территории Программы</w:t>
            </w:r>
            <w:r w:rsidR="00FA2245" w:rsidRPr="007A64AE">
              <w:rPr>
                <w:rFonts w:ascii="Arial" w:hAnsi="Arial" w:cs="Arial"/>
                <w:b/>
              </w:rPr>
              <w:t>? Например</w:t>
            </w:r>
            <w:r w:rsidR="00661C36" w:rsidRPr="007A64AE">
              <w:rPr>
                <w:rFonts w:ascii="Arial" w:hAnsi="Arial" w:cs="Arial"/>
                <w:b/>
              </w:rPr>
              <w:t>,</w:t>
            </w:r>
            <w:r w:rsidR="00FA2245" w:rsidRPr="007A64AE">
              <w:rPr>
                <w:rFonts w:ascii="Arial" w:hAnsi="Arial" w:cs="Arial"/>
                <w:b/>
              </w:rPr>
              <w:t xml:space="preserve"> если планируетс</w:t>
            </w:r>
            <w:r w:rsidR="00661C36" w:rsidRPr="007A64AE">
              <w:rPr>
                <w:rFonts w:ascii="Arial" w:hAnsi="Arial" w:cs="Arial"/>
                <w:b/>
              </w:rPr>
              <w:t>я</w:t>
            </w:r>
            <w:r w:rsidR="00FA2245" w:rsidRPr="007A64AE">
              <w:rPr>
                <w:rFonts w:ascii="Arial" w:hAnsi="Arial" w:cs="Arial"/>
                <w:b/>
              </w:rPr>
              <w:t xml:space="preserve"> прове</w:t>
            </w:r>
            <w:r w:rsidR="00661C36" w:rsidRPr="007A64AE">
              <w:rPr>
                <w:rFonts w:ascii="Arial" w:hAnsi="Arial" w:cs="Arial"/>
                <w:b/>
              </w:rPr>
              <w:t>дение</w:t>
            </w:r>
            <w:r w:rsidR="00FA2245" w:rsidRPr="007A64AE">
              <w:rPr>
                <w:rFonts w:ascii="Arial" w:hAnsi="Arial" w:cs="Arial"/>
                <w:b/>
              </w:rPr>
              <w:t xml:space="preserve"> технико-экономическо</w:t>
            </w:r>
            <w:r w:rsidR="00664403" w:rsidRPr="007A64AE">
              <w:rPr>
                <w:rFonts w:ascii="Arial" w:hAnsi="Arial" w:cs="Arial"/>
                <w:b/>
              </w:rPr>
              <w:t>го</w:t>
            </w:r>
            <w:r w:rsidR="00FA2245" w:rsidRPr="007A64AE">
              <w:rPr>
                <w:rFonts w:ascii="Arial" w:hAnsi="Arial" w:cs="Arial"/>
                <w:b/>
              </w:rPr>
              <w:t xml:space="preserve"> </w:t>
            </w:r>
            <w:r w:rsidR="00661C36" w:rsidRPr="007A64AE">
              <w:rPr>
                <w:rFonts w:ascii="Arial" w:hAnsi="Arial" w:cs="Arial"/>
                <w:b/>
              </w:rPr>
              <w:t>исследовани</w:t>
            </w:r>
            <w:r w:rsidR="00664403" w:rsidRPr="007A64AE">
              <w:rPr>
                <w:rFonts w:ascii="Arial" w:hAnsi="Arial" w:cs="Arial"/>
                <w:b/>
              </w:rPr>
              <w:t>я вне территории П</w:t>
            </w:r>
            <w:r w:rsidR="00FA2245" w:rsidRPr="007A64AE">
              <w:rPr>
                <w:rFonts w:ascii="Arial" w:hAnsi="Arial" w:cs="Arial"/>
                <w:b/>
              </w:rPr>
              <w:t xml:space="preserve">рограммы, будут ли </w:t>
            </w:r>
            <w:r w:rsidR="00661C36" w:rsidRPr="007A64AE">
              <w:rPr>
                <w:rFonts w:ascii="Arial" w:hAnsi="Arial" w:cs="Arial"/>
                <w:b/>
              </w:rPr>
              <w:t>э</w:t>
            </w:r>
            <w:r w:rsidR="00FA2245" w:rsidRPr="007A64AE">
              <w:rPr>
                <w:rFonts w:ascii="Arial" w:hAnsi="Arial" w:cs="Arial"/>
                <w:b/>
              </w:rPr>
              <w:t xml:space="preserve">ти расходы </w:t>
            </w:r>
            <w:r w:rsidR="00294C78" w:rsidRPr="007A64AE">
              <w:rPr>
                <w:rFonts w:ascii="Arial" w:hAnsi="Arial" w:cs="Arial"/>
                <w:b/>
              </w:rPr>
              <w:t xml:space="preserve">считаться </w:t>
            </w:r>
            <w:r w:rsidR="00FA2245" w:rsidRPr="007A64AE">
              <w:rPr>
                <w:rFonts w:ascii="Arial" w:hAnsi="Arial" w:cs="Arial"/>
                <w:b/>
              </w:rPr>
              <w:t>приемлемыми?</w:t>
            </w:r>
          </w:p>
        </w:tc>
      </w:tr>
      <w:tr w:rsidR="00335AEE" w:rsidRPr="00072BED" w:rsidTr="00335AEE">
        <w:trPr>
          <w:trHeight w:val="287"/>
        </w:trPr>
        <w:tc>
          <w:tcPr>
            <w:tcW w:w="10144" w:type="dxa"/>
            <w:shd w:val="clear" w:color="auto" w:fill="auto"/>
          </w:tcPr>
          <w:p w:rsidR="00FA2245" w:rsidRPr="00556F28" w:rsidRDefault="00FA2245" w:rsidP="00FA2245">
            <w:pPr>
              <w:ind w:left="34"/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В особых случаях проекты могут частично реализоваться вне территории</w:t>
            </w:r>
            <w:r w:rsidR="00661C36" w:rsidRPr="00556F28">
              <w:rPr>
                <w:rFonts w:ascii="Arial" w:hAnsi="Arial" w:cs="Arial"/>
              </w:rPr>
              <w:t xml:space="preserve"> Программы</w:t>
            </w:r>
            <w:r w:rsidR="00E5023C">
              <w:rPr>
                <w:rFonts w:ascii="Arial" w:hAnsi="Arial" w:cs="Arial"/>
              </w:rPr>
              <w:t xml:space="preserve">. При этом должны </w:t>
            </w:r>
            <w:r w:rsidRPr="00556F28">
              <w:rPr>
                <w:rFonts w:ascii="Arial" w:hAnsi="Arial" w:cs="Arial"/>
              </w:rPr>
              <w:t>выполнят</w:t>
            </w:r>
            <w:r w:rsidR="00E5023C">
              <w:rPr>
                <w:rFonts w:ascii="Arial" w:hAnsi="Arial" w:cs="Arial"/>
              </w:rPr>
              <w:t>ь</w:t>
            </w:r>
            <w:r w:rsidRPr="00556F28">
              <w:rPr>
                <w:rFonts w:ascii="Arial" w:hAnsi="Arial" w:cs="Arial"/>
              </w:rPr>
              <w:t>ся следующие условия:</w:t>
            </w:r>
          </w:p>
          <w:p w:rsidR="00FA2245" w:rsidRPr="00556F28" w:rsidRDefault="00FA2245" w:rsidP="00FA22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проекты реализуются для достижения целей Программы, принося пользу всей территории Программы;</w:t>
            </w:r>
          </w:p>
          <w:p w:rsidR="00662822" w:rsidRPr="00556F28" w:rsidRDefault="00FA2245" w:rsidP="0066282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общая сумма, выделяемая на реализацию мероприятий вне территории Программы, не превышает 10% общего софинансирования бюджета Программы Европейским Союзом</w:t>
            </w:r>
            <w:r w:rsidR="0088696E" w:rsidRPr="00556F28">
              <w:rPr>
                <w:rFonts w:ascii="Arial" w:hAnsi="Arial" w:cs="Arial"/>
              </w:rPr>
              <w:t>;</w:t>
            </w:r>
          </w:p>
          <w:p w:rsidR="00FA2245" w:rsidRPr="00556F28" w:rsidRDefault="00FA2245" w:rsidP="00FA22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556F28">
              <w:rPr>
                <w:rFonts w:ascii="Arial" w:hAnsi="Arial" w:cs="Arial"/>
              </w:rPr>
              <w:t>деятельность вне территории Программы не может носить инвестиционный и/или инфраструктурный характер</w:t>
            </w:r>
            <w:r w:rsidR="003666E9" w:rsidRPr="00556F28">
              <w:rPr>
                <w:rFonts w:ascii="Arial" w:hAnsi="Arial" w:cs="Arial"/>
              </w:rPr>
              <w:t>.</w:t>
            </w:r>
          </w:p>
          <w:p w:rsidR="0088696E" w:rsidRDefault="00294C78" w:rsidP="00294C78">
            <w:pPr>
              <w:ind w:left="34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Кроме того, м</w:t>
            </w:r>
            <w:r w:rsidR="00FA2245" w:rsidRPr="00556F28">
              <w:rPr>
                <w:rFonts w:ascii="Arial" w:hAnsi="Arial" w:cs="Arial"/>
              </w:rPr>
              <w:t>ероприятия</w:t>
            </w:r>
            <w:r>
              <w:rPr>
                <w:rFonts w:ascii="Arial" w:hAnsi="Arial" w:cs="Arial"/>
              </w:rPr>
              <w:t xml:space="preserve">, </w:t>
            </w:r>
            <w:r w:rsidR="00FA2245" w:rsidRPr="00556F28">
              <w:rPr>
                <w:rFonts w:ascii="Arial" w:hAnsi="Arial" w:cs="Arial"/>
              </w:rPr>
              <w:t>реализ</w:t>
            </w:r>
            <w:r>
              <w:rPr>
                <w:rFonts w:ascii="Arial" w:hAnsi="Arial" w:cs="Arial"/>
              </w:rPr>
              <w:t xml:space="preserve">уемые </w:t>
            </w:r>
            <w:r w:rsidR="00FA2245" w:rsidRPr="00556F28">
              <w:rPr>
                <w:rFonts w:ascii="Arial" w:hAnsi="Arial" w:cs="Arial"/>
              </w:rPr>
              <w:t>вне территории Программы, должн</w:t>
            </w:r>
            <w:r>
              <w:rPr>
                <w:rFonts w:ascii="Arial" w:hAnsi="Arial" w:cs="Arial"/>
              </w:rPr>
              <w:t>ы</w:t>
            </w:r>
            <w:r w:rsidR="00FA2245" w:rsidRPr="00556F28">
              <w:rPr>
                <w:rFonts w:ascii="Arial" w:hAnsi="Arial" w:cs="Arial"/>
              </w:rPr>
              <w:t xml:space="preserve"> быть </w:t>
            </w:r>
            <w:r>
              <w:rPr>
                <w:rFonts w:ascii="Arial" w:hAnsi="Arial" w:cs="Arial"/>
              </w:rPr>
              <w:t xml:space="preserve">реализованы на </w:t>
            </w:r>
            <w:r w:rsidR="00FA2245" w:rsidRPr="00556F28">
              <w:rPr>
                <w:rFonts w:ascii="Arial" w:hAnsi="Arial" w:cs="Arial"/>
              </w:rPr>
              <w:t>территори</w:t>
            </w:r>
            <w:r>
              <w:rPr>
                <w:rFonts w:ascii="Arial" w:hAnsi="Arial" w:cs="Arial"/>
              </w:rPr>
              <w:t>и</w:t>
            </w:r>
            <w:r w:rsidR="00FA2245" w:rsidRPr="00556F28">
              <w:rPr>
                <w:rFonts w:ascii="Arial" w:hAnsi="Arial" w:cs="Arial"/>
              </w:rPr>
              <w:t xml:space="preserve"> Польши и России</w:t>
            </w:r>
            <w:r w:rsidR="003666E9" w:rsidRPr="00556F28">
              <w:rPr>
                <w:rFonts w:ascii="Arial" w:hAnsi="Arial" w:cs="Arial"/>
              </w:rPr>
              <w:t>.</w:t>
            </w:r>
          </w:p>
          <w:p w:rsidR="007A64AE" w:rsidRPr="007A64AE" w:rsidRDefault="007A64AE" w:rsidP="00294C78">
            <w:pPr>
              <w:ind w:left="34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0164E8" w:rsidRPr="0005608A" w:rsidRDefault="000164E8" w:rsidP="00662822">
      <w:pPr>
        <w:jc w:val="both"/>
        <w:rPr>
          <w:rFonts w:ascii="Arial" w:hAnsi="Arial" w:cs="Arial"/>
          <w:b/>
          <w:color w:val="000000" w:themeColor="text1"/>
        </w:rPr>
      </w:pPr>
    </w:p>
    <w:sectPr w:rsidR="000164E8" w:rsidRPr="0005608A" w:rsidSect="00A404A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15" w:rsidRDefault="00106415" w:rsidP="000164E8">
      <w:pPr>
        <w:spacing w:after="0" w:line="240" w:lineRule="auto"/>
      </w:pPr>
      <w:r>
        <w:separator/>
      </w:r>
    </w:p>
  </w:endnote>
  <w:endnote w:type="continuationSeparator" w:id="0">
    <w:p w:rsidR="00106415" w:rsidRDefault="00106415" w:rsidP="000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D82028" w:rsidRDefault="00391293">
        <w:pPr>
          <w:pStyle w:val="Stopka"/>
          <w:jc w:val="right"/>
        </w:pPr>
        <w:fldSimple w:instr=" PAGE   \* MERGEFORMAT ">
          <w:r w:rsidR="007A64AE">
            <w:rPr>
              <w:noProof/>
            </w:rPr>
            <w:t>1</w:t>
          </w:r>
        </w:fldSimple>
      </w:p>
    </w:sdtContent>
  </w:sdt>
  <w:p w:rsidR="00D82028" w:rsidRDefault="00D82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15" w:rsidRDefault="00106415" w:rsidP="000164E8">
      <w:pPr>
        <w:spacing w:after="0" w:line="240" w:lineRule="auto"/>
      </w:pPr>
      <w:r>
        <w:separator/>
      </w:r>
    </w:p>
  </w:footnote>
  <w:footnote w:type="continuationSeparator" w:id="0">
    <w:p w:rsidR="00106415" w:rsidRDefault="00106415" w:rsidP="0001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28" w:rsidRDefault="00D82028" w:rsidP="00A404A7">
    <w:pPr>
      <w:rPr>
        <w:b/>
        <w:color w:val="548DD4" w:themeColor="text2" w:themeTint="99"/>
        <w:sz w:val="28"/>
        <w:szCs w:val="28"/>
      </w:rPr>
    </w:pPr>
    <w:r w:rsidRPr="000164E8">
      <w:rPr>
        <w:noProof/>
        <w:lang w:val="pl-PL" w:eastAsia="pl-PL"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>
      <w:rPr>
        <w:b/>
        <w:color w:val="548DD4" w:themeColor="text2" w:themeTint="99"/>
        <w:sz w:val="28"/>
        <w:szCs w:val="28"/>
      </w:rPr>
      <w:t>8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</w:rPr>
      <w:t>September</w:t>
    </w:r>
    <w:r w:rsidRPr="00335AEE">
      <w:rPr>
        <w:b/>
        <w:color w:val="548DD4" w:themeColor="text2" w:themeTint="99"/>
        <w:sz w:val="28"/>
        <w:szCs w:val="28"/>
      </w:rPr>
      <w:t xml:space="preserve"> 2017</w:t>
    </w:r>
  </w:p>
  <w:p w:rsidR="00D82028" w:rsidRPr="00A404A7" w:rsidRDefault="00D82028" w:rsidP="00A404A7">
    <w:pPr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574"/>
    <w:multiLevelType w:val="hybridMultilevel"/>
    <w:tmpl w:val="5BD45FB4"/>
    <w:lvl w:ilvl="0" w:tplc="9D94C00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BD6"/>
    <w:multiLevelType w:val="hybridMultilevel"/>
    <w:tmpl w:val="3FDA1E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3DE5"/>
    <w:multiLevelType w:val="hybridMultilevel"/>
    <w:tmpl w:val="6536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2EAD"/>
    <w:multiLevelType w:val="hybridMultilevel"/>
    <w:tmpl w:val="E2543070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10FA072D"/>
    <w:multiLevelType w:val="hybridMultilevel"/>
    <w:tmpl w:val="5A2A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0511"/>
    <w:multiLevelType w:val="hybridMultilevel"/>
    <w:tmpl w:val="3E00F0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0B3C"/>
    <w:multiLevelType w:val="hybridMultilevel"/>
    <w:tmpl w:val="CCE027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5CC7"/>
    <w:multiLevelType w:val="hybridMultilevel"/>
    <w:tmpl w:val="4D8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2E3A"/>
    <w:multiLevelType w:val="hybridMultilevel"/>
    <w:tmpl w:val="91E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5D8E"/>
    <w:multiLevelType w:val="hybridMultilevel"/>
    <w:tmpl w:val="629E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1D93"/>
    <w:multiLevelType w:val="hybridMultilevel"/>
    <w:tmpl w:val="8B78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71B"/>
    <w:multiLevelType w:val="hybridMultilevel"/>
    <w:tmpl w:val="D1A4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E5A08"/>
    <w:multiLevelType w:val="hybridMultilevel"/>
    <w:tmpl w:val="2300096C"/>
    <w:lvl w:ilvl="0" w:tplc="AFD04F6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2DA3"/>
    <w:multiLevelType w:val="hybridMultilevel"/>
    <w:tmpl w:val="D6DA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4166"/>
    <w:multiLevelType w:val="hybridMultilevel"/>
    <w:tmpl w:val="CB1C81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50098"/>
    <w:multiLevelType w:val="hybridMultilevel"/>
    <w:tmpl w:val="944A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C2232"/>
    <w:multiLevelType w:val="hybridMultilevel"/>
    <w:tmpl w:val="CBF4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07925"/>
    <w:multiLevelType w:val="hybridMultilevel"/>
    <w:tmpl w:val="0FCC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6C4F"/>
    <w:multiLevelType w:val="hybridMultilevel"/>
    <w:tmpl w:val="15B40E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0CE8"/>
    <w:multiLevelType w:val="hybridMultilevel"/>
    <w:tmpl w:val="F55ED874"/>
    <w:lvl w:ilvl="0" w:tplc="82E2AB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118B"/>
    <w:multiLevelType w:val="hybridMultilevel"/>
    <w:tmpl w:val="62D4F30E"/>
    <w:lvl w:ilvl="0" w:tplc="BC9AF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443C8"/>
    <w:multiLevelType w:val="hybridMultilevel"/>
    <w:tmpl w:val="4672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C45058"/>
    <w:multiLevelType w:val="hybridMultilevel"/>
    <w:tmpl w:val="C53299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6808"/>
    <w:multiLevelType w:val="hybridMultilevel"/>
    <w:tmpl w:val="BCBE5D12"/>
    <w:lvl w:ilvl="0" w:tplc="DA3CD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9"/>
  </w:num>
  <w:num w:numId="5">
    <w:abstractNumId w:val="8"/>
  </w:num>
  <w:num w:numId="6">
    <w:abstractNumId w:val="11"/>
  </w:num>
  <w:num w:numId="7">
    <w:abstractNumId w:val="20"/>
  </w:num>
  <w:num w:numId="8">
    <w:abstractNumId w:val="21"/>
  </w:num>
  <w:num w:numId="9">
    <w:abstractNumId w:val="13"/>
  </w:num>
  <w:num w:numId="10">
    <w:abstractNumId w:val="23"/>
  </w:num>
  <w:num w:numId="11">
    <w:abstractNumId w:val="15"/>
  </w:num>
  <w:num w:numId="12">
    <w:abstractNumId w:val="4"/>
  </w:num>
  <w:num w:numId="13">
    <w:abstractNumId w:val="10"/>
  </w:num>
  <w:num w:numId="14">
    <w:abstractNumId w:val="17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0"/>
  </w:num>
  <w:num w:numId="20">
    <w:abstractNumId w:val="12"/>
  </w:num>
  <w:num w:numId="21">
    <w:abstractNumId w:val="18"/>
  </w:num>
  <w:num w:numId="22">
    <w:abstractNumId w:val="1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4E8"/>
    <w:rsid w:val="000164E8"/>
    <w:rsid w:val="00030413"/>
    <w:rsid w:val="0003368C"/>
    <w:rsid w:val="0005608A"/>
    <w:rsid w:val="00062F34"/>
    <w:rsid w:val="00072BED"/>
    <w:rsid w:val="000B20B8"/>
    <w:rsid w:val="000C6F21"/>
    <w:rsid w:val="001054C5"/>
    <w:rsid w:val="00106415"/>
    <w:rsid w:val="001621AF"/>
    <w:rsid w:val="00186B86"/>
    <w:rsid w:val="001900C7"/>
    <w:rsid w:val="00191DFF"/>
    <w:rsid w:val="001B4409"/>
    <w:rsid w:val="001C53B7"/>
    <w:rsid w:val="001E1488"/>
    <w:rsid w:val="001E324C"/>
    <w:rsid w:val="001F5B02"/>
    <w:rsid w:val="00203714"/>
    <w:rsid w:val="002073F3"/>
    <w:rsid w:val="00207A2F"/>
    <w:rsid w:val="002106A8"/>
    <w:rsid w:val="00254404"/>
    <w:rsid w:val="0029368F"/>
    <w:rsid w:val="00294C78"/>
    <w:rsid w:val="002A0180"/>
    <w:rsid w:val="002B4BC1"/>
    <w:rsid w:val="002C0540"/>
    <w:rsid w:val="002C69F5"/>
    <w:rsid w:val="002E28CF"/>
    <w:rsid w:val="002E6A45"/>
    <w:rsid w:val="002F0485"/>
    <w:rsid w:val="002F1BCF"/>
    <w:rsid w:val="002F4F77"/>
    <w:rsid w:val="00311895"/>
    <w:rsid w:val="003143BE"/>
    <w:rsid w:val="00335AEE"/>
    <w:rsid w:val="00343802"/>
    <w:rsid w:val="003466A1"/>
    <w:rsid w:val="00353AB5"/>
    <w:rsid w:val="00355B2E"/>
    <w:rsid w:val="00355BB3"/>
    <w:rsid w:val="003666E9"/>
    <w:rsid w:val="00370032"/>
    <w:rsid w:val="00391293"/>
    <w:rsid w:val="00393753"/>
    <w:rsid w:val="003C3300"/>
    <w:rsid w:val="003E3A60"/>
    <w:rsid w:val="003E4EA0"/>
    <w:rsid w:val="003F4E02"/>
    <w:rsid w:val="003F5EA3"/>
    <w:rsid w:val="00402587"/>
    <w:rsid w:val="00425C80"/>
    <w:rsid w:val="0043065C"/>
    <w:rsid w:val="00435FAD"/>
    <w:rsid w:val="00441699"/>
    <w:rsid w:val="00446DC7"/>
    <w:rsid w:val="004474D1"/>
    <w:rsid w:val="00447ACB"/>
    <w:rsid w:val="0046141F"/>
    <w:rsid w:val="00480492"/>
    <w:rsid w:val="00485400"/>
    <w:rsid w:val="004917C9"/>
    <w:rsid w:val="004B159A"/>
    <w:rsid w:val="004E4678"/>
    <w:rsid w:val="004F2F15"/>
    <w:rsid w:val="004F3E81"/>
    <w:rsid w:val="00514060"/>
    <w:rsid w:val="00514568"/>
    <w:rsid w:val="00515B72"/>
    <w:rsid w:val="00530277"/>
    <w:rsid w:val="00531C4D"/>
    <w:rsid w:val="0054225C"/>
    <w:rsid w:val="0054500B"/>
    <w:rsid w:val="00556F28"/>
    <w:rsid w:val="00575553"/>
    <w:rsid w:val="005934E5"/>
    <w:rsid w:val="005A3208"/>
    <w:rsid w:val="005B4CE7"/>
    <w:rsid w:val="005C5861"/>
    <w:rsid w:val="005D6AFB"/>
    <w:rsid w:val="00614BF4"/>
    <w:rsid w:val="006361B3"/>
    <w:rsid w:val="006509D1"/>
    <w:rsid w:val="006541DB"/>
    <w:rsid w:val="006603D7"/>
    <w:rsid w:val="00661C36"/>
    <w:rsid w:val="00662822"/>
    <w:rsid w:val="00664403"/>
    <w:rsid w:val="00694CF1"/>
    <w:rsid w:val="006B6F6D"/>
    <w:rsid w:val="006D585E"/>
    <w:rsid w:val="006F088E"/>
    <w:rsid w:val="00712A5F"/>
    <w:rsid w:val="00734285"/>
    <w:rsid w:val="00742D80"/>
    <w:rsid w:val="00771F0B"/>
    <w:rsid w:val="007A64AE"/>
    <w:rsid w:val="007D4F1F"/>
    <w:rsid w:val="007D7052"/>
    <w:rsid w:val="007E7E1D"/>
    <w:rsid w:val="008021E0"/>
    <w:rsid w:val="00812145"/>
    <w:rsid w:val="00840F62"/>
    <w:rsid w:val="008416C8"/>
    <w:rsid w:val="0084303E"/>
    <w:rsid w:val="008471AA"/>
    <w:rsid w:val="00851AE1"/>
    <w:rsid w:val="00857A78"/>
    <w:rsid w:val="0088696E"/>
    <w:rsid w:val="00894329"/>
    <w:rsid w:val="008A3827"/>
    <w:rsid w:val="008B23CD"/>
    <w:rsid w:val="008C0793"/>
    <w:rsid w:val="008D3FE8"/>
    <w:rsid w:val="009068D4"/>
    <w:rsid w:val="00917EA7"/>
    <w:rsid w:val="00930BCB"/>
    <w:rsid w:val="00950549"/>
    <w:rsid w:val="00976E5C"/>
    <w:rsid w:val="00980F81"/>
    <w:rsid w:val="00987EBE"/>
    <w:rsid w:val="009B76ED"/>
    <w:rsid w:val="009D29D5"/>
    <w:rsid w:val="009F545D"/>
    <w:rsid w:val="00A0483A"/>
    <w:rsid w:val="00A074BF"/>
    <w:rsid w:val="00A336EC"/>
    <w:rsid w:val="00A35A54"/>
    <w:rsid w:val="00A404A7"/>
    <w:rsid w:val="00A51906"/>
    <w:rsid w:val="00A72F53"/>
    <w:rsid w:val="00AB016D"/>
    <w:rsid w:val="00AC0083"/>
    <w:rsid w:val="00AD518F"/>
    <w:rsid w:val="00AF2465"/>
    <w:rsid w:val="00B21C33"/>
    <w:rsid w:val="00B342E8"/>
    <w:rsid w:val="00B43BA8"/>
    <w:rsid w:val="00B97966"/>
    <w:rsid w:val="00BB2BB5"/>
    <w:rsid w:val="00BD189F"/>
    <w:rsid w:val="00BF132C"/>
    <w:rsid w:val="00C36FB1"/>
    <w:rsid w:val="00C82944"/>
    <w:rsid w:val="00CA04D0"/>
    <w:rsid w:val="00CB27D4"/>
    <w:rsid w:val="00CC240E"/>
    <w:rsid w:val="00CD55D6"/>
    <w:rsid w:val="00CE4B9F"/>
    <w:rsid w:val="00CE7C7C"/>
    <w:rsid w:val="00CF2DFC"/>
    <w:rsid w:val="00D1002F"/>
    <w:rsid w:val="00D2153D"/>
    <w:rsid w:val="00D34D54"/>
    <w:rsid w:val="00D60417"/>
    <w:rsid w:val="00D82028"/>
    <w:rsid w:val="00DB537C"/>
    <w:rsid w:val="00DC062D"/>
    <w:rsid w:val="00DD28F7"/>
    <w:rsid w:val="00DD300C"/>
    <w:rsid w:val="00DD5456"/>
    <w:rsid w:val="00DE76B1"/>
    <w:rsid w:val="00E00035"/>
    <w:rsid w:val="00E128AC"/>
    <w:rsid w:val="00E20DD9"/>
    <w:rsid w:val="00E269D1"/>
    <w:rsid w:val="00E35D1D"/>
    <w:rsid w:val="00E4534E"/>
    <w:rsid w:val="00E5023C"/>
    <w:rsid w:val="00E5172C"/>
    <w:rsid w:val="00E65264"/>
    <w:rsid w:val="00E7189C"/>
    <w:rsid w:val="00E85690"/>
    <w:rsid w:val="00EB1308"/>
    <w:rsid w:val="00EC2905"/>
    <w:rsid w:val="00EC3792"/>
    <w:rsid w:val="00EF29F0"/>
    <w:rsid w:val="00F160A1"/>
    <w:rsid w:val="00F23774"/>
    <w:rsid w:val="00F26FE3"/>
    <w:rsid w:val="00F92869"/>
    <w:rsid w:val="00F93966"/>
    <w:rsid w:val="00FA2245"/>
    <w:rsid w:val="00FB2E0E"/>
    <w:rsid w:val="00FC3B07"/>
    <w:rsid w:val="00FE08EB"/>
    <w:rsid w:val="00FF4A64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B76ED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76ED"/>
    <w:rPr>
      <w:rFonts w:ascii="Consolas" w:hAnsi="Consolas" w:cs="Consolas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76ED"/>
    <w:rPr>
      <w:color w:val="0000FF"/>
      <w:u w:val="single"/>
    </w:rPr>
  </w:style>
  <w:style w:type="paragraph" w:customStyle="1" w:styleId="InsideAddress">
    <w:name w:val="Inside Address"/>
    <w:basedOn w:val="Normalny"/>
    <w:rsid w:val="00636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4E8"/>
  </w:style>
  <w:style w:type="paragraph" w:styleId="a5">
    <w:name w:val="footer"/>
    <w:basedOn w:val="a"/>
    <w:link w:val="a6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4E8"/>
  </w:style>
  <w:style w:type="paragraph" w:styleId="a7">
    <w:name w:val="Balloon Text"/>
    <w:basedOn w:val="a"/>
    <w:link w:val="a8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64E8"/>
    <w:pPr>
      <w:ind w:left="720"/>
      <w:contextualSpacing/>
    </w:pPr>
  </w:style>
  <w:style w:type="paragraph" w:styleId="ab">
    <w:name w:val="Body Text"/>
    <w:aliases w:val="Standard paragraph,wypunktowanie"/>
    <w:basedOn w:val="a"/>
    <w:link w:val="ac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">
    <w:name w:val="Основной текст Знак"/>
    <w:aliases w:val="Standard paragraph Знак,wypunktowanie Знак"/>
    <w:basedOn w:val="a0"/>
    <w:link w:val="ab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a"/>
    <w:rsid w:val="00335AEE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uiPriority w:val="99"/>
    <w:unhideWhenUsed/>
    <w:rsid w:val="009B76ED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ae">
    <w:name w:val="Текст Знак"/>
    <w:basedOn w:val="a0"/>
    <w:link w:val="ad"/>
    <w:uiPriority w:val="99"/>
    <w:rsid w:val="009B76ED"/>
    <w:rPr>
      <w:rFonts w:ascii="Consolas" w:hAnsi="Consolas" w:cs="Consolas"/>
      <w:sz w:val="21"/>
      <w:szCs w:val="21"/>
      <w:lang w:eastAsia="pl-PL"/>
    </w:rPr>
  </w:style>
  <w:style w:type="character" w:styleId="af">
    <w:name w:val="Hyperlink"/>
    <w:basedOn w:val="a0"/>
    <w:uiPriority w:val="99"/>
    <w:semiHidden/>
    <w:unhideWhenUsed/>
    <w:rsid w:val="009B76ED"/>
    <w:rPr>
      <w:color w:val="0000FF"/>
      <w:u w:val="single"/>
    </w:rPr>
  </w:style>
  <w:style w:type="paragraph" w:customStyle="1" w:styleId="InsideAddress">
    <w:name w:val="Inside Address"/>
    <w:basedOn w:val="a"/>
    <w:rsid w:val="00636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f0">
    <w:name w:val="endnote text"/>
    <w:basedOn w:val="a"/>
    <w:link w:val="af1"/>
    <w:uiPriority w:val="99"/>
    <w:semiHidden/>
    <w:unhideWhenUsed/>
    <w:rsid w:val="00614BF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14BF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14B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A0EC1-41E0-4DD3-A74A-7972267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1263</Words>
  <Characters>7582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CPE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katarzyna_bartnik</dc:creator>
  <cp:lastModifiedBy>Katarzyna Wantoch-Rekowska</cp:lastModifiedBy>
  <cp:revision>9</cp:revision>
  <cp:lastPrinted>2017-09-20T08:18:00Z</cp:lastPrinted>
  <dcterms:created xsi:type="dcterms:W3CDTF">2017-11-01T12:14:00Z</dcterms:created>
  <dcterms:modified xsi:type="dcterms:W3CDTF">2017-11-10T15:12:00Z</dcterms:modified>
</cp:coreProperties>
</file>