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0682"/>
      </w:tblGrid>
      <w:tr w:rsidR="000164E8" w:rsidRPr="007E6143" w:rsidTr="000A3ABE">
        <w:trPr>
          <w:trHeight w:val="833"/>
        </w:trPr>
        <w:tc>
          <w:tcPr>
            <w:tcW w:w="0" w:type="auto"/>
            <w:shd w:val="clear" w:color="auto" w:fill="D9D9D9" w:themeFill="background1" w:themeFillShade="D9"/>
          </w:tcPr>
          <w:p w:rsidR="00A80A17" w:rsidRDefault="00401E42">
            <w:pPr>
              <w:jc w:val="both"/>
              <w:rPr>
                <w:b/>
                <w:lang w:val="ru-RU"/>
              </w:rPr>
            </w:pPr>
            <w:r w:rsidRPr="00401E42">
              <w:rPr>
                <w:b/>
                <w:lang w:val="ru-RU"/>
              </w:rPr>
              <w:t xml:space="preserve">1. </w:t>
            </w:r>
            <w:r w:rsidR="00185035">
              <w:rPr>
                <w:b/>
                <w:lang w:val="ru-RU"/>
              </w:rPr>
              <w:t>Возможно</w:t>
            </w:r>
            <w:r w:rsidR="00185035" w:rsidRPr="004661BA">
              <w:rPr>
                <w:b/>
                <w:lang w:val="ru-RU"/>
              </w:rPr>
              <w:t xml:space="preserve"> </w:t>
            </w:r>
            <w:r w:rsidR="00185035">
              <w:rPr>
                <w:b/>
                <w:lang w:val="ru-RU"/>
              </w:rPr>
              <w:t>ли</w:t>
            </w:r>
            <w:r w:rsidR="00185035" w:rsidRPr="004661BA">
              <w:rPr>
                <w:b/>
                <w:lang w:val="ru-RU"/>
              </w:rPr>
              <w:t xml:space="preserve"> </w:t>
            </w:r>
            <w:r w:rsidR="00185035">
              <w:rPr>
                <w:b/>
                <w:lang w:val="ru-RU"/>
              </w:rPr>
              <w:t>подготовить</w:t>
            </w:r>
            <w:r w:rsidR="00185035" w:rsidRPr="004661BA">
              <w:rPr>
                <w:b/>
                <w:lang w:val="ru-RU"/>
              </w:rPr>
              <w:t xml:space="preserve"> </w:t>
            </w:r>
            <w:r w:rsidR="00185035">
              <w:rPr>
                <w:b/>
                <w:lang w:val="ru-RU"/>
              </w:rPr>
              <w:t>одно</w:t>
            </w:r>
            <w:r w:rsidR="00185035" w:rsidRPr="004661BA">
              <w:rPr>
                <w:b/>
                <w:lang w:val="ru-RU"/>
              </w:rPr>
              <w:t xml:space="preserve"> </w:t>
            </w:r>
            <w:r w:rsidR="007E6143">
              <w:rPr>
                <w:b/>
                <w:lang w:val="ru-RU"/>
              </w:rPr>
              <w:t xml:space="preserve">общее </w:t>
            </w:r>
            <w:r w:rsidR="00185035">
              <w:rPr>
                <w:b/>
                <w:lang w:val="ru-RU"/>
              </w:rPr>
              <w:t>технико</w:t>
            </w:r>
            <w:r w:rsidR="00185035" w:rsidRPr="004661BA">
              <w:rPr>
                <w:b/>
                <w:lang w:val="ru-RU"/>
              </w:rPr>
              <w:t>-</w:t>
            </w:r>
            <w:r w:rsidR="00185035">
              <w:rPr>
                <w:b/>
                <w:lang w:val="ru-RU"/>
              </w:rPr>
              <w:t>экономическое</w:t>
            </w:r>
            <w:r w:rsidR="00185035" w:rsidRPr="004661BA">
              <w:rPr>
                <w:b/>
                <w:lang w:val="ru-RU"/>
              </w:rPr>
              <w:t xml:space="preserve"> </w:t>
            </w:r>
            <w:r w:rsidR="00185035">
              <w:rPr>
                <w:b/>
                <w:lang w:val="ru-RU"/>
              </w:rPr>
              <w:t>обоснование</w:t>
            </w:r>
            <w:r w:rsidR="00185035" w:rsidRPr="004661BA">
              <w:rPr>
                <w:b/>
                <w:lang w:val="ru-RU"/>
              </w:rPr>
              <w:t xml:space="preserve"> </w:t>
            </w:r>
            <w:r w:rsidR="00185035">
              <w:rPr>
                <w:b/>
                <w:lang w:val="ru-RU"/>
              </w:rPr>
              <w:t>для</w:t>
            </w:r>
            <w:r w:rsidR="00185035" w:rsidRPr="004661BA">
              <w:rPr>
                <w:b/>
                <w:lang w:val="ru-RU"/>
              </w:rPr>
              <w:t xml:space="preserve"> </w:t>
            </w:r>
            <w:r w:rsidR="00185035">
              <w:rPr>
                <w:b/>
                <w:lang w:val="ru-RU"/>
              </w:rPr>
              <w:t>проекта</w:t>
            </w:r>
            <w:r w:rsidR="00185035" w:rsidRPr="004661BA">
              <w:rPr>
                <w:b/>
                <w:lang w:val="ru-RU"/>
              </w:rPr>
              <w:t xml:space="preserve">, </w:t>
            </w:r>
            <w:r w:rsidR="00185035">
              <w:rPr>
                <w:b/>
                <w:lang w:val="ru-RU"/>
              </w:rPr>
              <w:t>в</w:t>
            </w:r>
            <w:r w:rsidR="00185035" w:rsidRPr="004661BA">
              <w:rPr>
                <w:b/>
                <w:lang w:val="ru-RU"/>
              </w:rPr>
              <w:t xml:space="preserve"> </w:t>
            </w:r>
            <w:r w:rsidR="00185035">
              <w:rPr>
                <w:b/>
                <w:lang w:val="ru-RU"/>
              </w:rPr>
              <w:t>котором</w:t>
            </w:r>
            <w:r w:rsidR="00185035" w:rsidRPr="004661BA">
              <w:rPr>
                <w:b/>
                <w:lang w:val="ru-RU"/>
              </w:rPr>
              <w:t xml:space="preserve"> </w:t>
            </w:r>
            <w:r w:rsidR="00185035">
              <w:rPr>
                <w:b/>
                <w:lang w:val="ru-RU"/>
              </w:rPr>
              <w:t>есть</w:t>
            </w:r>
            <w:r w:rsidR="00185035" w:rsidRPr="004661BA">
              <w:rPr>
                <w:b/>
                <w:lang w:val="ru-RU"/>
              </w:rPr>
              <w:t xml:space="preserve"> </w:t>
            </w:r>
            <w:r w:rsidR="00185035">
              <w:rPr>
                <w:b/>
                <w:lang w:val="ru-RU"/>
              </w:rPr>
              <w:t>два</w:t>
            </w:r>
            <w:r w:rsidR="00185035" w:rsidRPr="004661BA">
              <w:rPr>
                <w:b/>
                <w:lang w:val="ru-RU"/>
              </w:rPr>
              <w:t xml:space="preserve"> </w:t>
            </w:r>
            <w:r w:rsidR="00185035">
              <w:rPr>
                <w:b/>
                <w:lang w:val="ru-RU"/>
              </w:rPr>
              <w:t>инфраструктурных</w:t>
            </w:r>
            <w:r w:rsidR="00185035" w:rsidRPr="004661BA">
              <w:rPr>
                <w:b/>
                <w:lang w:val="ru-RU"/>
              </w:rPr>
              <w:t xml:space="preserve"> </w:t>
            </w:r>
            <w:r w:rsidR="00185035">
              <w:rPr>
                <w:b/>
                <w:lang w:val="ru-RU"/>
              </w:rPr>
              <w:t>компонента</w:t>
            </w:r>
            <w:r w:rsidR="00185035" w:rsidRPr="004661BA">
              <w:rPr>
                <w:b/>
                <w:lang w:val="ru-RU"/>
              </w:rPr>
              <w:t xml:space="preserve"> </w:t>
            </w:r>
            <w:r w:rsidR="00185035">
              <w:rPr>
                <w:b/>
                <w:lang w:val="ru-RU"/>
              </w:rPr>
              <w:t>стоимостью ниже и выше 1 миллиона евро? Если</w:t>
            </w:r>
            <w:r>
              <w:rPr>
                <w:b/>
                <w:lang w:val="ru-RU"/>
              </w:rPr>
              <w:t xml:space="preserve"> </w:t>
            </w:r>
            <w:r w:rsidR="00185035">
              <w:rPr>
                <w:b/>
                <w:lang w:val="ru-RU"/>
              </w:rPr>
              <w:t>да</w:t>
            </w:r>
            <w:r>
              <w:rPr>
                <w:b/>
                <w:lang w:val="ru-RU"/>
              </w:rPr>
              <w:t xml:space="preserve">, </w:t>
            </w:r>
            <w:r w:rsidR="00185035">
              <w:rPr>
                <w:b/>
                <w:lang w:val="ru-RU"/>
              </w:rPr>
              <w:t>как</w:t>
            </w:r>
            <w:r>
              <w:rPr>
                <w:b/>
                <w:lang w:val="ru-RU"/>
              </w:rPr>
              <w:t xml:space="preserve"> </w:t>
            </w:r>
            <w:r w:rsidR="00185035">
              <w:rPr>
                <w:b/>
                <w:lang w:val="ru-RU"/>
              </w:rPr>
              <w:t>нужно</w:t>
            </w:r>
            <w:r>
              <w:rPr>
                <w:b/>
                <w:lang w:val="ru-RU"/>
              </w:rPr>
              <w:t xml:space="preserve"> </w:t>
            </w:r>
            <w:r w:rsidR="00185035">
              <w:rPr>
                <w:b/>
                <w:lang w:val="ru-RU"/>
              </w:rPr>
              <w:t>заполн</w:t>
            </w:r>
            <w:r w:rsidR="001E3CE0">
              <w:rPr>
                <w:b/>
                <w:lang w:val="ru-RU"/>
              </w:rPr>
              <w:t>и</w:t>
            </w:r>
            <w:r w:rsidR="00185035">
              <w:rPr>
                <w:b/>
                <w:lang w:val="ru-RU"/>
              </w:rPr>
              <w:t>ть</w:t>
            </w:r>
            <w:r>
              <w:rPr>
                <w:b/>
                <w:lang w:val="ru-RU"/>
              </w:rPr>
              <w:t xml:space="preserve"> </w:t>
            </w:r>
            <w:r w:rsidR="00185035">
              <w:rPr>
                <w:b/>
                <w:lang w:val="ru-RU"/>
              </w:rPr>
              <w:t>пункт</w:t>
            </w:r>
            <w:r>
              <w:rPr>
                <w:b/>
                <w:lang w:val="ru-RU"/>
              </w:rPr>
              <w:t xml:space="preserve"> 3.5 </w:t>
            </w:r>
            <w:r w:rsidR="001E3CE0">
              <w:rPr>
                <w:b/>
                <w:lang w:val="ru-RU"/>
              </w:rPr>
              <w:t xml:space="preserve">формы </w:t>
            </w:r>
            <w:r w:rsidR="00185035">
              <w:rPr>
                <w:b/>
                <w:lang w:val="ru-RU"/>
              </w:rPr>
              <w:t>заявки</w:t>
            </w:r>
            <w:r>
              <w:rPr>
                <w:b/>
                <w:lang w:val="ru-RU"/>
              </w:rPr>
              <w:t>?</w:t>
            </w:r>
          </w:p>
        </w:tc>
      </w:tr>
      <w:tr w:rsidR="000164E8" w:rsidRPr="009F0A1A" w:rsidTr="000A3ABE">
        <w:trPr>
          <w:trHeight w:val="600"/>
        </w:trPr>
        <w:tc>
          <w:tcPr>
            <w:tcW w:w="0" w:type="auto"/>
          </w:tcPr>
          <w:p w:rsidR="00A80A17" w:rsidRDefault="00185035">
            <w:pPr>
              <w:jc w:val="both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Есть такая возможность. Если</w:t>
            </w:r>
            <w:r w:rsidRPr="004661BA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бенефициары</w:t>
            </w:r>
            <w:r w:rsidRPr="004661BA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решат</w:t>
            </w:r>
            <w:r w:rsidRPr="004661BA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использовать</w:t>
            </w:r>
            <w:r w:rsidRPr="004661BA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такой</w:t>
            </w:r>
            <w:r w:rsidRPr="004661BA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способ</w:t>
            </w:r>
            <w:r w:rsidRPr="004661BA">
              <w:rPr>
                <w:rFonts w:cs="Arial"/>
                <w:lang w:val="ru-RU"/>
              </w:rPr>
              <w:t xml:space="preserve">, </w:t>
            </w:r>
            <w:r>
              <w:rPr>
                <w:rFonts w:cs="Arial"/>
                <w:lang w:val="ru-RU"/>
              </w:rPr>
              <w:t>в</w:t>
            </w:r>
            <w:r w:rsidRPr="004661BA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пункте</w:t>
            </w:r>
            <w:r w:rsidRPr="004661BA">
              <w:rPr>
                <w:rFonts w:cs="Arial"/>
                <w:lang w:val="ru-RU"/>
              </w:rPr>
              <w:t xml:space="preserve"> 3.5 </w:t>
            </w:r>
            <w:r>
              <w:rPr>
                <w:rFonts w:cs="Arial"/>
                <w:lang w:val="ru-RU"/>
              </w:rPr>
              <w:t>заявки</w:t>
            </w:r>
            <w:r w:rsidRPr="004661BA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нужно</w:t>
            </w:r>
            <w:r w:rsidRPr="004661BA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 xml:space="preserve">указать, что описание компонента </w:t>
            </w:r>
            <w:r w:rsidR="007D773A">
              <w:rPr>
                <w:rFonts w:cs="Arial"/>
                <w:lang w:val="ru-RU"/>
              </w:rPr>
              <w:t xml:space="preserve">ниже 1 миллиона евро </w:t>
            </w:r>
            <w:r>
              <w:rPr>
                <w:rFonts w:cs="Arial"/>
                <w:lang w:val="ru-RU"/>
              </w:rPr>
              <w:t xml:space="preserve">включено в полное технико-экономическое обоснование. Однако, пожалуйста, помните, что в то же время требование </w:t>
            </w:r>
            <w:r w:rsidR="007D773A">
              <w:rPr>
                <w:rFonts w:cs="Arial"/>
                <w:lang w:val="ru-RU"/>
              </w:rPr>
              <w:t xml:space="preserve">по наличию одного инфраструктурного компонента стоимостью выше 1 миллиона евро </w:t>
            </w:r>
            <w:r>
              <w:rPr>
                <w:rFonts w:cs="Arial"/>
                <w:lang w:val="ru-RU"/>
              </w:rPr>
              <w:t>должно быть выполнено, иначе стоимость подобного исследован</w:t>
            </w:r>
            <w:r w:rsidR="00402866">
              <w:rPr>
                <w:rFonts w:cs="Arial"/>
                <w:lang w:val="ru-RU"/>
              </w:rPr>
              <w:t>и</w:t>
            </w:r>
            <w:r>
              <w:rPr>
                <w:rFonts w:cs="Arial"/>
                <w:lang w:val="ru-RU"/>
              </w:rPr>
              <w:t>я будет признана недопустимой.</w:t>
            </w:r>
          </w:p>
        </w:tc>
      </w:tr>
      <w:tr w:rsidR="000164E8" w:rsidRPr="00507951" w:rsidTr="000A3ABE">
        <w:trPr>
          <w:trHeight w:val="544"/>
        </w:trPr>
        <w:tc>
          <w:tcPr>
            <w:tcW w:w="0" w:type="auto"/>
            <w:shd w:val="clear" w:color="auto" w:fill="D9D9D9" w:themeFill="background1" w:themeFillShade="D9"/>
          </w:tcPr>
          <w:p w:rsidR="00A80A17" w:rsidRDefault="00401E42">
            <w:pPr>
              <w:jc w:val="both"/>
              <w:rPr>
                <w:b/>
                <w:lang w:val="ru-RU"/>
              </w:rPr>
            </w:pPr>
            <w:r w:rsidRPr="00401E42">
              <w:rPr>
                <w:b/>
                <w:lang w:val="ru-RU"/>
              </w:rPr>
              <w:t xml:space="preserve">2. </w:t>
            </w:r>
            <w:r w:rsidR="00185035">
              <w:rPr>
                <w:b/>
                <w:lang w:val="ru-RU"/>
              </w:rPr>
              <w:t xml:space="preserve">Должен ли бюджет проекта быть поделен между бенефициарами из Польши и России </w:t>
            </w:r>
            <w:r w:rsidR="00507951">
              <w:rPr>
                <w:b/>
                <w:lang w:val="ru-RU"/>
              </w:rPr>
              <w:t xml:space="preserve">в пропорции </w:t>
            </w:r>
            <w:r w:rsidR="00185035">
              <w:rPr>
                <w:b/>
                <w:lang w:val="ru-RU"/>
              </w:rPr>
              <w:t>50/50? Будет</w:t>
            </w:r>
            <w:r>
              <w:rPr>
                <w:b/>
                <w:lang w:val="ru-RU"/>
              </w:rPr>
              <w:t xml:space="preserve"> </w:t>
            </w:r>
            <w:r w:rsidR="00185035">
              <w:rPr>
                <w:b/>
                <w:lang w:val="ru-RU"/>
              </w:rPr>
              <w:t>ли</w:t>
            </w:r>
            <w:r>
              <w:rPr>
                <w:b/>
                <w:lang w:val="ru-RU"/>
              </w:rPr>
              <w:t xml:space="preserve"> </w:t>
            </w:r>
            <w:r w:rsidR="00185035">
              <w:rPr>
                <w:b/>
                <w:lang w:val="ru-RU"/>
              </w:rPr>
              <w:t>бюджет</w:t>
            </w:r>
            <w:r>
              <w:rPr>
                <w:b/>
                <w:lang w:val="ru-RU"/>
              </w:rPr>
              <w:t xml:space="preserve"> </w:t>
            </w:r>
            <w:r w:rsidR="00185035">
              <w:rPr>
                <w:b/>
                <w:lang w:val="ru-RU"/>
              </w:rPr>
              <w:t>с</w:t>
            </w:r>
            <w:r>
              <w:rPr>
                <w:b/>
                <w:lang w:val="ru-RU"/>
              </w:rPr>
              <w:t xml:space="preserve"> </w:t>
            </w:r>
            <w:r w:rsidR="00185035">
              <w:rPr>
                <w:b/>
                <w:lang w:val="ru-RU"/>
              </w:rPr>
              <w:t>другим</w:t>
            </w:r>
            <w:r>
              <w:rPr>
                <w:b/>
                <w:lang w:val="ru-RU"/>
              </w:rPr>
              <w:t xml:space="preserve"> </w:t>
            </w:r>
            <w:r w:rsidR="00185035">
              <w:rPr>
                <w:b/>
                <w:lang w:val="ru-RU"/>
              </w:rPr>
              <w:t>соотношением</w:t>
            </w:r>
            <w:r>
              <w:rPr>
                <w:b/>
                <w:lang w:val="ru-RU"/>
              </w:rPr>
              <w:t xml:space="preserve"> </w:t>
            </w:r>
            <w:r w:rsidR="00185035">
              <w:rPr>
                <w:b/>
                <w:lang w:val="ru-RU"/>
              </w:rPr>
              <w:t>оцениваться</w:t>
            </w:r>
            <w:r>
              <w:rPr>
                <w:b/>
                <w:lang w:val="ru-RU"/>
              </w:rPr>
              <w:t xml:space="preserve"> </w:t>
            </w:r>
            <w:r w:rsidR="00185035">
              <w:rPr>
                <w:b/>
                <w:lang w:val="ru-RU"/>
              </w:rPr>
              <w:t>ниже</w:t>
            </w:r>
            <w:r>
              <w:rPr>
                <w:b/>
                <w:lang w:val="ru-RU"/>
              </w:rPr>
              <w:t xml:space="preserve">? </w:t>
            </w:r>
          </w:p>
        </w:tc>
      </w:tr>
      <w:tr w:rsidR="000164E8" w:rsidRPr="009F0A1A" w:rsidTr="000A3ABE">
        <w:trPr>
          <w:trHeight w:val="1890"/>
        </w:trPr>
        <w:tc>
          <w:tcPr>
            <w:tcW w:w="0" w:type="auto"/>
          </w:tcPr>
          <w:p w:rsidR="00A80A17" w:rsidRDefault="00402866">
            <w:pPr>
              <w:jc w:val="both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 xml:space="preserve">Проектный бюджет будет одним из элементов заявки, который будет оценивать Совместный технический секретариат. </w:t>
            </w:r>
            <w:r w:rsidR="00507951">
              <w:rPr>
                <w:rFonts w:cs="Arial"/>
                <w:lang w:val="ru-RU"/>
              </w:rPr>
              <w:t>К</w:t>
            </w:r>
            <w:r>
              <w:rPr>
                <w:rFonts w:cs="Arial"/>
                <w:lang w:val="ru-RU"/>
              </w:rPr>
              <w:t>ритери</w:t>
            </w:r>
            <w:r w:rsidR="00507951">
              <w:rPr>
                <w:rFonts w:cs="Arial"/>
                <w:lang w:val="ru-RU"/>
              </w:rPr>
              <w:t>ями</w:t>
            </w:r>
            <w:r>
              <w:rPr>
                <w:rFonts w:cs="Arial"/>
                <w:lang w:val="ru-RU"/>
              </w:rPr>
              <w:t xml:space="preserve"> оценки бюджета проекта, среди всего прочего, явля</w:t>
            </w:r>
            <w:r w:rsidR="00507951">
              <w:rPr>
                <w:rFonts w:cs="Arial"/>
                <w:lang w:val="ru-RU"/>
              </w:rPr>
              <w:t>ю</w:t>
            </w:r>
            <w:r>
              <w:rPr>
                <w:rFonts w:cs="Arial"/>
                <w:lang w:val="ru-RU"/>
              </w:rPr>
              <w:t>тся его пропорциональност</w:t>
            </w:r>
            <w:r w:rsidR="00507951">
              <w:rPr>
                <w:rFonts w:cs="Arial"/>
                <w:lang w:val="ru-RU"/>
              </w:rPr>
              <w:t>ь</w:t>
            </w:r>
            <w:r>
              <w:rPr>
                <w:rFonts w:cs="Arial"/>
                <w:lang w:val="ru-RU"/>
              </w:rPr>
              <w:t xml:space="preserve"> предложенному рабочему плану, включая основные ожидаемые продукты и результаты (напр., является ли соотношение между запланированными расходами и ожидаемыми результатами удовлетворительным), и понимание</w:t>
            </w:r>
            <w:r w:rsidR="00507951">
              <w:rPr>
                <w:rFonts w:cs="Arial"/>
                <w:lang w:val="ru-RU"/>
              </w:rPr>
              <w:t xml:space="preserve"> того</w:t>
            </w:r>
            <w:r>
              <w:rPr>
                <w:rFonts w:cs="Arial"/>
                <w:lang w:val="ru-RU"/>
              </w:rPr>
              <w:t>, что бюджет бенефициаров отражае</w:t>
            </w:r>
            <w:r w:rsidR="00507951">
              <w:rPr>
                <w:rFonts w:cs="Arial"/>
                <w:lang w:val="ru-RU"/>
              </w:rPr>
              <w:t>т</w:t>
            </w:r>
            <w:r>
              <w:rPr>
                <w:rFonts w:cs="Arial"/>
                <w:lang w:val="ru-RU"/>
              </w:rPr>
              <w:t xml:space="preserve"> реальный уровень их вовлеченности в проект (является ли он устойчив</w:t>
            </w:r>
            <w:r w:rsidR="00507951">
              <w:rPr>
                <w:rFonts w:cs="Arial"/>
                <w:lang w:val="ru-RU"/>
              </w:rPr>
              <w:t>ым</w:t>
            </w:r>
            <w:r>
              <w:rPr>
                <w:rFonts w:cs="Arial"/>
                <w:lang w:val="ru-RU"/>
              </w:rPr>
              <w:t xml:space="preserve"> и реалистичн</w:t>
            </w:r>
            <w:r w:rsidR="00507951">
              <w:rPr>
                <w:rFonts w:cs="Arial"/>
                <w:lang w:val="ru-RU"/>
              </w:rPr>
              <w:t>ым</w:t>
            </w:r>
            <w:r>
              <w:rPr>
                <w:rFonts w:cs="Arial"/>
                <w:lang w:val="ru-RU"/>
              </w:rPr>
              <w:t xml:space="preserve">). Это означает, что бюджет проекта </w:t>
            </w:r>
            <w:r w:rsidR="00507951">
              <w:rPr>
                <w:rFonts w:cs="Arial"/>
                <w:lang w:val="ru-RU"/>
              </w:rPr>
              <w:t xml:space="preserve">оценивается </w:t>
            </w:r>
            <w:r>
              <w:rPr>
                <w:rFonts w:cs="Arial"/>
                <w:lang w:val="ru-RU"/>
              </w:rPr>
              <w:t>в связи с запланированными мероприятиями и вовлеченностью отдельных бенефициаров в его реализацию. Распределение фондов должно, таким образом, отражать объем задач, выполняемых отдельными бенефициарами.</w:t>
            </w:r>
          </w:p>
        </w:tc>
      </w:tr>
      <w:tr w:rsidR="000164E8" w:rsidRPr="009F0A1A" w:rsidTr="000A3ABE">
        <w:trPr>
          <w:trHeight w:val="326"/>
        </w:trPr>
        <w:tc>
          <w:tcPr>
            <w:tcW w:w="0" w:type="auto"/>
            <w:shd w:val="clear" w:color="auto" w:fill="D9D9D9" w:themeFill="background1" w:themeFillShade="D9"/>
          </w:tcPr>
          <w:p w:rsidR="00A80A17" w:rsidRDefault="00401E42">
            <w:pPr>
              <w:pStyle w:val="Zwykytekst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401E42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  <w:t xml:space="preserve">3. </w:t>
            </w:r>
            <w:r w:rsidR="00402866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  <w:t>Будет</w:t>
            </w:r>
            <w:r w:rsidR="00402866" w:rsidRPr="004661BA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402866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  <w:t>ли</w:t>
            </w:r>
            <w:r w:rsidR="00402866" w:rsidRPr="004661BA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402866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  <w:t>стоимость</w:t>
            </w:r>
            <w:r w:rsidR="00402866" w:rsidRPr="004661BA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402866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  <w:t>актуализации</w:t>
            </w:r>
            <w:r w:rsidR="00402866" w:rsidRPr="004661BA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402866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  <w:t>технической</w:t>
            </w:r>
            <w:r w:rsidR="00402866" w:rsidRPr="004661BA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402866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  <w:t>документации</w:t>
            </w:r>
            <w:r w:rsidR="00402866" w:rsidRPr="004661BA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 w:rsidR="00402866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  <w:t>оплаченная</w:t>
            </w:r>
            <w:r w:rsidR="00402866" w:rsidRPr="004661BA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402866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  <w:t>после</w:t>
            </w:r>
            <w:r w:rsidR="00402866" w:rsidRPr="004661BA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1E3CE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  <w:t>0</w:t>
            </w:r>
            <w:r w:rsidR="00402866" w:rsidRPr="004661BA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  <w:t>8.12.2016</w:t>
            </w:r>
            <w:r w:rsidR="001E3CE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402866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  <w:t>г</w:t>
            </w:r>
            <w:r w:rsidR="00402866" w:rsidRPr="004661BA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  <w:t xml:space="preserve">. </w:t>
            </w:r>
            <w:r w:rsidR="00402866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  <w:t>польскими</w:t>
            </w:r>
            <w:r w:rsidR="00402866" w:rsidRPr="004661BA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402866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  <w:t>бенефициарами</w:t>
            </w:r>
            <w:r w:rsidR="00402866" w:rsidRPr="004661BA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402866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  <w:t>и</w:t>
            </w:r>
            <w:r w:rsidR="00402866" w:rsidRPr="004661BA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402866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  <w:t>после</w:t>
            </w:r>
            <w:r w:rsidR="00402866" w:rsidRPr="004661BA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  <w:t xml:space="preserve"> 01.01.2018</w:t>
            </w:r>
            <w:r w:rsidR="001E3CE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402866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  <w:t>г</w:t>
            </w:r>
            <w:r w:rsidR="00402866" w:rsidRPr="004661BA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  <w:t xml:space="preserve">. </w:t>
            </w:r>
            <w:r w:rsidR="00402866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  <w:t>российскими</w:t>
            </w:r>
            <w:r w:rsidR="00402866" w:rsidRPr="004661BA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402866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  <w:t>бенефициарами</w:t>
            </w:r>
            <w:r w:rsidR="00402866" w:rsidRPr="004661BA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42345E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  <w:t xml:space="preserve">и </w:t>
            </w:r>
            <w:r w:rsidR="00402866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  <w:t>до</w:t>
            </w:r>
            <w:r w:rsidR="00402866" w:rsidRPr="004661BA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402866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  <w:t>подачи</w:t>
            </w:r>
            <w:r w:rsidR="00402866" w:rsidRPr="004661BA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402866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  <w:t>заявки</w:t>
            </w:r>
            <w:r w:rsidR="00402866" w:rsidRPr="004661BA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 w:rsidR="00402866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  <w:t>считаться</w:t>
            </w:r>
            <w:r w:rsidR="00402866" w:rsidRPr="004661BA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402866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  <w:t>допустимым</w:t>
            </w:r>
            <w:r w:rsidR="00402866" w:rsidRPr="004661BA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402866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  <w:t>расходом в рамках ретроактивного гранта?</w:t>
            </w:r>
          </w:p>
        </w:tc>
      </w:tr>
      <w:tr w:rsidR="000164E8" w:rsidRPr="009F0A1A" w:rsidTr="000A3ABE">
        <w:trPr>
          <w:trHeight w:val="529"/>
        </w:trPr>
        <w:tc>
          <w:tcPr>
            <w:tcW w:w="0" w:type="auto"/>
          </w:tcPr>
          <w:p w:rsidR="00A80A17" w:rsidRDefault="0040286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Расходы, относящиеся к </w:t>
            </w:r>
            <w:r w:rsidR="00507951">
              <w:rPr>
                <w:lang w:val="ru-RU"/>
              </w:rPr>
              <w:t xml:space="preserve">актуализации </w:t>
            </w:r>
            <w:r>
              <w:rPr>
                <w:lang w:val="ru-RU"/>
              </w:rPr>
              <w:t xml:space="preserve">технической документации, могут быть возмещены ретроактивно. Однако, пожалуйста, помните, что такие расходы должны отвечать требованиям допустимости и </w:t>
            </w:r>
            <w:r w:rsidR="00507951">
              <w:rPr>
                <w:lang w:val="ru-RU"/>
              </w:rPr>
              <w:t xml:space="preserve">они </w:t>
            </w:r>
            <w:r w:rsidR="00001C53">
              <w:rPr>
                <w:lang w:val="ru-RU"/>
              </w:rPr>
              <w:t xml:space="preserve">оплачиваются на риск бенефициара, потому что только те проекты, с которыми будет подписан </w:t>
            </w:r>
            <w:r w:rsidR="00507951">
              <w:rPr>
                <w:lang w:val="ru-RU"/>
              </w:rPr>
              <w:t>к</w:t>
            </w:r>
            <w:r w:rsidR="00001C53">
              <w:rPr>
                <w:lang w:val="ru-RU"/>
              </w:rPr>
              <w:t xml:space="preserve">онтракт на получение гранта, </w:t>
            </w:r>
            <w:r w:rsidR="00507951">
              <w:rPr>
                <w:lang w:val="ru-RU"/>
              </w:rPr>
              <w:t>с</w:t>
            </w:r>
            <w:r w:rsidR="00001C53">
              <w:rPr>
                <w:lang w:val="ru-RU"/>
              </w:rPr>
              <w:t>могут возместить данные расходы.</w:t>
            </w:r>
          </w:p>
        </w:tc>
      </w:tr>
      <w:tr w:rsidR="000164E8" w:rsidRPr="009F0A1A" w:rsidTr="000A3ABE">
        <w:trPr>
          <w:trHeight w:val="272"/>
        </w:trPr>
        <w:tc>
          <w:tcPr>
            <w:tcW w:w="0" w:type="auto"/>
            <w:shd w:val="clear" w:color="auto" w:fill="D9D9D9" w:themeFill="background1" w:themeFillShade="D9"/>
          </w:tcPr>
          <w:p w:rsidR="00A80A17" w:rsidRDefault="00401E42">
            <w:pPr>
              <w:jc w:val="both"/>
              <w:rPr>
                <w:b/>
                <w:lang w:val="ru-RU"/>
              </w:rPr>
            </w:pPr>
            <w:r w:rsidRPr="00401E42">
              <w:rPr>
                <w:b/>
                <w:color w:val="000000" w:themeColor="text1"/>
                <w:lang w:val="ru-RU"/>
              </w:rPr>
              <w:t xml:space="preserve">4. </w:t>
            </w:r>
            <w:r w:rsidR="00001C53">
              <w:rPr>
                <w:b/>
                <w:color w:val="000000" w:themeColor="text1"/>
                <w:lang w:val="ru-RU"/>
              </w:rPr>
              <w:t xml:space="preserve">Можно ли </w:t>
            </w:r>
            <w:r w:rsidR="00507951">
              <w:rPr>
                <w:b/>
                <w:color w:val="000000" w:themeColor="text1"/>
                <w:lang w:val="ru-RU"/>
              </w:rPr>
              <w:t xml:space="preserve">будет </w:t>
            </w:r>
            <w:r w:rsidR="00001C53">
              <w:rPr>
                <w:b/>
                <w:color w:val="000000" w:themeColor="text1"/>
                <w:lang w:val="ru-RU"/>
              </w:rPr>
              <w:t xml:space="preserve">отказаться от реализации одного из инфраструктурных компонентов (из-за риска не получить разрешение на строительство), указав данный факт </w:t>
            </w:r>
            <w:r w:rsidR="00507951">
              <w:rPr>
                <w:b/>
                <w:color w:val="000000" w:themeColor="text1"/>
                <w:lang w:val="ru-RU"/>
              </w:rPr>
              <w:t xml:space="preserve">перед </w:t>
            </w:r>
            <w:r w:rsidR="00001C53">
              <w:rPr>
                <w:b/>
                <w:color w:val="000000" w:themeColor="text1"/>
                <w:lang w:val="ru-RU"/>
              </w:rPr>
              <w:t>подписани</w:t>
            </w:r>
            <w:r w:rsidR="00507951">
              <w:rPr>
                <w:b/>
                <w:color w:val="000000" w:themeColor="text1"/>
                <w:lang w:val="ru-RU"/>
              </w:rPr>
              <w:t xml:space="preserve">ем </w:t>
            </w:r>
            <w:r w:rsidR="00001C53">
              <w:rPr>
                <w:b/>
                <w:color w:val="000000" w:themeColor="text1"/>
                <w:lang w:val="ru-RU"/>
              </w:rPr>
              <w:t xml:space="preserve">контракта? </w:t>
            </w:r>
          </w:p>
        </w:tc>
      </w:tr>
      <w:tr w:rsidR="000164E8" w:rsidRPr="009F0A1A" w:rsidTr="000A3ABE">
        <w:trPr>
          <w:trHeight w:val="801"/>
        </w:trPr>
        <w:tc>
          <w:tcPr>
            <w:tcW w:w="0" w:type="auto"/>
          </w:tcPr>
          <w:p w:rsidR="00A80A17" w:rsidRDefault="00001C53">
            <w:pPr>
              <w:jc w:val="both"/>
              <w:rPr>
                <w:lang w:val="ru-RU"/>
              </w:rPr>
            </w:pPr>
            <w:r>
              <w:rPr>
                <w:color w:val="000000" w:themeColor="text1"/>
                <w:lang w:val="ru-RU"/>
              </w:rPr>
              <w:t>Данная</w:t>
            </w:r>
            <w:r w:rsidRPr="004661BA">
              <w:rPr>
                <w:color w:val="000000" w:themeColor="text1"/>
                <w:lang w:val="ru-RU"/>
              </w:rPr>
              <w:t xml:space="preserve"> </w:t>
            </w:r>
            <w:r>
              <w:rPr>
                <w:color w:val="000000" w:themeColor="text1"/>
                <w:lang w:val="ru-RU"/>
              </w:rPr>
              <w:t>ситуация</w:t>
            </w:r>
            <w:r w:rsidRPr="004661BA">
              <w:rPr>
                <w:color w:val="000000" w:themeColor="text1"/>
                <w:lang w:val="ru-RU"/>
              </w:rPr>
              <w:t xml:space="preserve"> </w:t>
            </w:r>
            <w:r>
              <w:rPr>
                <w:color w:val="000000" w:themeColor="text1"/>
                <w:lang w:val="ru-RU"/>
              </w:rPr>
              <w:t>будет</w:t>
            </w:r>
            <w:r w:rsidRPr="004661BA">
              <w:rPr>
                <w:color w:val="000000" w:themeColor="text1"/>
                <w:lang w:val="ru-RU"/>
              </w:rPr>
              <w:t xml:space="preserve"> </w:t>
            </w:r>
            <w:r>
              <w:rPr>
                <w:color w:val="000000" w:themeColor="text1"/>
                <w:lang w:val="ru-RU"/>
              </w:rPr>
              <w:t>анализироваться</w:t>
            </w:r>
            <w:r w:rsidRPr="004661BA">
              <w:rPr>
                <w:color w:val="000000" w:themeColor="text1"/>
                <w:lang w:val="ru-RU"/>
              </w:rPr>
              <w:t xml:space="preserve"> </w:t>
            </w:r>
            <w:r>
              <w:rPr>
                <w:color w:val="000000" w:themeColor="text1"/>
                <w:lang w:val="ru-RU"/>
              </w:rPr>
              <w:t>в</w:t>
            </w:r>
            <w:r w:rsidRPr="004661BA">
              <w:rPr>
                <w:color w:val="000000" w:themeColor="text1"/>
                <w:lang w:val="ru-RU"/>
              </w:rPr>
              <w:t xml:space="preserve"> </w:t>
            </w:r>
            <w:r>
              <w:rPr>
                <w:color w:val="000000" w:themeColor="text1"/>
                <w:lang w:val="ru-RU"/>
              </w:rPr>
              <w:t>рамках</w:t>
            </w:r>
            <w:r w:rsidRPr="004661BA">
              <w:rPr>
                <w:color w:val="000000" w:themeColor="text1"/>
                <w:lang w:val="ru-RU"/>
              </w:rPr>
              <w:t xml:space="preserve"> </w:t>
            </w:r>
            <w:r w:rsidR="00C97D74">
              <w:rPr>
                <w:color w:val="000000" w:themeColor="text1"/>
                <w:lang w:val="ru-RU"/>
              </w:rPr>
              <w:t xml:space="preserve">каждого </w:t>
            </w:r>
            <w:r>
              <w:rPr>
                <w:color w:val="000000" w:themeColor="text1"/>
                <w:lang w:val="ru-RU"/>
              </w:rPr>
              <w:t>отдельн</w:t>
            </w:r>
            <w:r w:rsidR="00C97D74">
              <w:rPr>
                <w:color w:val="000000" w:themeColor="text1"/>
                <w:lang w:val="ru-RU"/>
              </w:rPr>
              <w:t>ого</w:t>
            </w:r>
            <w:r w:rsidRPr="004661BA">
              <w:rPr>
                <w:color w:val="000000" w:themeColor="text1"/>
                <w:lang w:val="ru-RU"/>
              </w:rPr>
              <w:t xml:space="preserve"> </w:t>
            </w:r>
            <w:r>
              <w:rPr>
                <w:color w:val="000000" w:themeColor="text1"/>
                <w:lang w:val="ru-RU"/>
              </w:rPr>
              <w:t>проект</w:t>
            </w:r>
            <w:r w:rsidR="00C97D74">
              <w:rPr>
                <w:color w:val="000000" w:themeColor="text1"/>
                <w:lang w:val="ru-RU"/>
              </w:rPr>
              <w:t>а</w:t>
            </w:r>
            <w:r>
              <w:rPr>
                <w:color w:val="000000" w:themeColor="text1"/>
                <w:lang w:val="ru-RU"/>
              </w:rPr>
              <w:t xml:space="preserve">. </w:t>
            </w:r>
            <w:r w:rsidR="00C97D74">
              <w:rPr>
                <w:color w:val="000000" w:themeColor="text1"/>
                <w:lang w:val="ru-RU"/>
              </w:rPr>
              <w:t xml:space="preserve">Тем не менее необходимо понимать, что </w:t>
            </w:r>
            <w:r>
              <w:rPr>
                <w:color w:val="000000" w:themeColor="text1"/>
                <w:lang w:val="ru-RU"/>
              </w:rPr>
              <w:t>отказ бенефициара от реализации одного из инфраструктурных мероприятий может изменить результаты предыдущей оценки, так как отказ может значительно изменить задачи проекта</w:t>
            </w:r>
            <w:r w:rsidR="004661BA">
              <w:rPr>
                <w:color w:val="000000" w:themeColor="text1"/>
                <w:lang w:val="ru-RU"/>
              </w:rPr>
              <w:t>,</w:t>
            </w:r>
            <w:r>
              <w:rPr>
                <w:color w:val="000000" w:themeColor="text1"/>
                <w:lang w:val="ru-RU"/>
              </w:rPr>
              <w:t xml:space="preserve"> и </w:t>
            </w:r>
            <w:r w:rsidR="00C97D74">
              <w:rPr>
                <w:color w:val="000000" w:themeColor="text1"/>
                <w:lang w:val="ru-RU"/>
              </w:rPr>
              <w:t xml:space="preserve">произведенная </w:t>
            </w:r>
            <w:r>
              <w:rPr>
                <w:color w:val="000000" w:themeColor="text1"/>
                <w:lang w:val="ru-RU"/>
              </w:rPr>
              <w:t xml:space="preserve">оценка не будет </w:t>
            </w:r>
            <w:r w:rsidR="00C97D74">
              <w:rPr>
                <w:color w:val="000000" w:themeColor="text1"/>
                <w:lang w:val="ru-RU"/>
              </w:rPr>
              <w:t>соотноситься с</w:t>
            </w:r>
            <w:r>
              <w:rPr>
                <w:color w:val="000000" w:themeColor="text1"/>
                <w:lang w:val="ru-RU"/>
              </w:rPr>
              <w:t xml:space="preserve"> измененной проектной заявк</w:t>
            </w:r>
            <w:r w:rsidR="00C97D74">
              <w:rPr>
                <w:color w:val="000000" w:themeColor="text1"/>
                <w:lang w:val="ru-RU"/>
              </w:rPr>
              <w:t>ой</w:t>
            </w:r>
            <w:r>
              <w:rPr>
                <w:color w:val="000000" w:themeColor="text1"/>
                <w:lang w:val="ru-RU"/>
              </w:rPr>
              <w:t>.</w:t>
            </w:r>
          </w:p>
        </w:tc>
      </w:tr>
      <w:tr w:rsidR="00A404A7" w:rsidRPr="009F0A1A" w:rsidTr="000A3ABE">
        <w:trPr>
          <w:trHeight w:val="386"/>
        </w:trPr>
        <w:tc>
          <w:tcPr>
            <w:tcW w:w="0" w:type="auto"/>
            <w:shd w:val="clear" w:color="auto" w:fill="D9D9D9" w:themeFill="background1" w:themeFillShade="D9"/>
          </w:tcPr>
          <w:p w:rsidR="00A80A17" w:rsidRDefault="00401E42">
            <w:pPr>
              <w:pStyle w:val="Zwykytekst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401E42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  <w:t xml:space="preserve">5. </w:t>
            </w:r>
            <w:r w:rsidR="00001C53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  <w:t>Требуется</w:t>
            </w:r>
            <w:r w:rsidR="00001C53" w:rsidRPr="004661BA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001C53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  <w:t>предоставить</w:t>
            </w:r>
            <w:r w:rsidR="00001C53" w:rsidRPr="004661BA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001C53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  <w:t>полный</w:t>
            </w:r>
            <w:r w:rsidR="00001C53" w:rsidRPr="004661BA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001C53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  <w:t>комплект</w:t>
            </w:r>
            <w:r w:rsidR="00001C53" w:rsidRPr="004661BA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001C53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  <w:t>технической</w:t>
            </w:r>
            <w:r w:rsidR="00001C53" w:rsidRPr="004661BA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001C53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  <w:t>документации</w:t>
            </w:r>
            <w:r w:rsidR="00001C53" w:rsidRPr="004661BA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001C53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  <w:t>и</w:t>
            </w:r>
            <w:r w:rsidR="00001C53" w:rsidRPr="004661BA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001C53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  <w:t>сметы</w:t>
            </w:r>
            <w:r w:rsidR="00001C53" w:rsidRPr="004661BA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001C53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  <w:t>или</w:t>
            </w:r>
            <w:r w:rsidR="00001C53" w:rsidRPr="004661BA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001C53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  <w:t>достаточно</w:t>
            </w:r>
            <w:r w:rsidR="00001C53" w:rsidRPr="004661BA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001C53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  <w:t>выдержек</w:t>
            </w:r>
            <w:r w:rsidR="00001C53" w:rsidRPr="004661BA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001C53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  <w:t>из</w:t>
            </w:r>
            <w:r w:rsidR="00001C53" w:rsidRPr="004661BA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001C53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  <w:t>данных документов?</w:t>
            </w:r>
          </w:p>
        </w:tc>
      </w:tr>
      <w:tr w:rsidR="00A404A7" w:rsidRPr="009F0A1A" w:rsidTr="000A3ABE">
        <w:trPr>
          <w:trHeight w:val="544"/>
        </w:trPr>
        <w:tc>
          <w:tcPr>
            <w:tcW w:w="0" w:type="auto"/>
          </w:tcPr>
          <w:p w:rsidR="00A80A17" w:rsidRDefault="00001C53">
            <w:pPr>
              <w:pStyle w:val="Zwykytekst"/>
              <w:jc w:val="both"/>
              <w:rPr>
                <w:rFonts w:asciiTheme="minorHAnsi" w:eastAsia="Calibri" w:hAnsiTheme="minorHAnsi" w:cs="Arial"/>
                <w:sz w:val="22"/>
                <w:szCs w:val="22"/>
                <w:lang w:val="ru-RU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ru-RU"/>
              </w:rPr>
              <w:t xml:space="preserve">По причине большого объема данной документации и ее детального характера допускается подача выдержек. На данной стадии оценки </w:t>
            </w:r>
            <w:r w:rsidR="00C97D74">
              <w:rPr>
                <w:rFonts w:asciiTheme="minorHAnsi" w:eastAsia="Calibri" w:hAnsiTheme="minorHAnsi" w:cs="Arial"/>
                <w:sz w:val="22"/>
                <w:szCs w:val="22"/>
                <w:lang w:val="ru-RU"/>
              </w:rPr>
              <w:t xml:space="preserve">могут быть поданы </w:t>
            </w:r>
            <w:r>
              <w:rPr>
                <w:rFonts w:asciiTheme="minorHAnsi" w:eastAsia="Calibri" w:hAnsiTheme="minorHAnsi" w:cs="Arial"/>
                <w:sz w:val="22"/>
                <w:szCs w:val="22"/>
                <w:lang w:val="ru-RU"/>
              </w:rPr>
              <w:t>краткие версии документов таким образом, чтобы можно было проверить готовность проекта и сравнить расходы инвестиционной части с бюджетом проекта.</w:t>
            </w:r>
          </w:p>
        </w:tc>
      </w:tr>
      <w:tr w:rsidR="00A404A7" w:rsidRPr="009F0A1A" w:rsidTr="000A3ABE">
        <w:trPr>
          <w:trHeight w:val="272"/>
        </w:trPr>
        <w:tc>
          <w:tcPr>
            <w:tcW w:w="0" w:type="auto"/>
            <w:shd w:val="clear" w:color="auto" w:fill="D9D9D9" w:themeFill="background1" w:themeFillShade="D9"/>
          </w:tcPr>
          <w:p w:rsidR="00A80A17" w:rsidRDefault="00401E42">
            <w:pPr>
              <w:pStyle w:val="Zwykytekst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401E42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  <w:t xml:space="preserve">6. </w:t>
            </w:r>
            <w:r w:rsidR="00001C53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  <w:t xml:space="preserve">Как мы можем привлекать специалистов/экспертов для выполнения задач в рамках проекта? </w:t>
            </w:r>
          </w:p>
        </w:tc>
      </w:tr>
      <w:tr w:rsidR="00A404A7" w:rsidRPr="009F0A1A" w:rsidTr="000A3ABE">
        <w:trPr>
          <w:trHeight w:val="257"/>
        </w:trPr>
        <w:tc>
          <w:tcPr>
            <w:tcW w:w="0" w:type="auto"/>
          </w:tcPr>
          <w:p w:rsidR="00A80A17" w:rsidRDefault="00001C53">
            <w:pPr>
              <w:spacing w:after="200"/>
              <w:jc w:val="both"/>
              <w:rPr>
                <w:lang w:val="ru-RU"/>
              </w:rPr>
            </w:pPr>
            <w:r>
              <w:rPr>
                <w:lang w:val="ru-RU"/>
              </w:rPr>
              <w:t>Специалисты</w:t>
            </w:r>
            <w:r w:rsidR="00401E42">
              <w:rPr>
                <w:lang w:val="ru-RU"/>
              </w:rPr>
              <w:t>/</w:t>
            </w:r>
            <w:r>
              <w:rPr>
                <w:lang w:val="ru-RU"/>
              </w:rPr>
              <w:t>эксперты</w:t>
            </w:r>
            <w:r w:rsidR="00401E42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могут</w:t>
            </w:r>
            <w:r w:rsidR="00401E42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быть</w:t>
            </w:r>
            <w:r w:rsidR="00401E42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наняты</w:t>
            </w:r>
            <w:r w:rsidR="00401E42">
              <w:rPr>
                <w:lang w:val="ru-RU"/>
              </w:rPr>
              <w:t xml:space="preserve">: </w:t>
            </w:r>
          </w:p>
          <w:p w:rsidR="00A80A17" w:rsidRDefault="00401E42">
            <w:pPr>
              <w:spacing w:after="200"/>
              <w:jc w:val="both"/>
              <w:rPr>
                <w:lang w:val="ru-RU"/>
              </w:rPr>
            </w:pPr>
            <w:r w:rsidRPr="00401E42">
              <w:rPr>
                <w:lang w:val="ru-RU"/>
              </w:rPr>
              <w:t xml:space="preserve">- </w:t>
            </w:r>
            <w:r w:rsidR="00001C53">
              <w:rPr>
                <w:lang w:val="ru-RU"/>
              </w:rPr>
              <w:t>на основе трудового договора, в соответстви</w:t>
            </w:r>
            <w:r w:rsidR="00DC6FEE">
              <w:rPr>
                <w:lang w:val="ru-RU"/>
              </w:rPr>
              <w:t>и</w:t>
            </w:r>
            <w:r w:rsidR="00001C53">
              <w:rPr>
                <w:lang w:val="ru-RU"/>
              </w:rPr>
              <w:t xml:space="preserve"> с национальным законодательством, распространяющимся на бенефициара. Это будет расход на штатную единицу, нанятую для ведения проекта, который должен быть включен в раздел бюджета 1</w:t>
            </w:r>
            <w:r w:rsidR="00DC6FEE">
              <w:rPr>
                <w:lang w:val="ru-RU"/>
              </w:rPr>
              <w:t>;</w:t>
            </w:r>
          </w:p>
          <w:p w:rsidR="00A80A17" w:rsidRDefault="00401E42">
            <w:pPr>
              <w:jc w:val="both"/>
              <w:rPr>
                <w:lang w:val="ru-RU"/>
              </w:rPr>
            </w:pPr>
            <w:r w:rsidRPr="00401E42">
              <w:rPr>
                <w:lang w:val="ru-RU"/>
              </w:rPr>
              <w:t xml:space="preserve">- </w:t>
            </w:r>
            <w:r w:rsidR="00001C53">
              <w:rPr>
                <w:lang w:val="ru-RU"/>
              </w:rPr>
              <w:t>на</w:t>
            </w:r>
            <w:r w:rsidR="00001C53" w:rsidRPr="004661BA">
              <w:rPr>
                <w:lang w:val="ru-RU"/>
              </w:rPr>
              <w:t xml:space="preserve"> </w:t>
            </w:r>
            <w:r w:rsidR="00001C53">
              <w:rPr>
                <w:lang w:val="ru-RU"/>
              </w:rPr>
              <w:t>базе</w:t>
            </w:r>
            <w:r w:rsidR="00001C53" w:rsidRPr="004661BA">
              <w:rPr>
                <w:lang w:val="ru-RU"/>
              </w:rPr>
              <w:t xml:space="preserve"> </w:t>
            </w:r>
            <w:r w:rsidR="00001C53">
              <w:rPr>
                <w:lang w:val="ru-RU"/>
              </w:rPr>
              <w:t>других</w:t>
            </w:r>
            <w:r w:rsidR="00001C53" w:rsidRPr="004661BA">
              <w:rPr>
                <w:lang w:val="ru-RU"/>
              </w:rPr>
              <w:t xml:space="preserve"> </w:t>
            </w:r>
            <w:r w:rsidR="00001C53">
              <w:rPr>
                <w:lang w:val="ru-RU"/>
              </w:rPr>
              <w:t>типов</w:t>
            </w:r>
            <w:r w:rsidR="00001C53" w:rsidRPr="004661BA">
              <w:rPr>
                <w:lang w:val="ru-RU"/>
              </w:rPr>
              <w:t xml:space="preserve"> </w:t>
            </w:r>
            <w:r w:rsidR="00001C53">
              <w:rPr>
                <w:lang w:val="ru-RU"/>
              </w:rPr>
              <w:t>контрактов</w:t>
            </w:r>
            <w:r w:rsidR="00001C53" w:rsidRPr="004661BA">
              <w:rPr>
                <w:lang w:val="ru-RU"/>
              </w:rPr>
              <w:t xml:space="preserve">, </w:t>
            </w:r>
            <w:r w:rsidR="00001C53">
              <w:rPr>
                <w:lang w:val="ru-RU"/>
              </w:rPr>
              <w:t>напр</w:t>
            </w:r>
            <w:r w:rsidR="00001C53" w:rsidRPr="004661BA">
              <w:rPr>
                <w:lang w:val="ru-RU"/>
              </w:rPr>
              <w:t xml:space="preserve">., </w:t>
            </w:r>
            <w:r w:rsidR="00001C53">
              <w:rPr>
                <w:lang w:val="ru-RU"/>
              </w:rPr>
              <w:t>гражданско</w:t>
            </w:r>
            <w:r w:rsidR="00001C53" w:rsidRPr="004661BA">
              <w:rPr>
                <w:lang w:val="ru-RU"/>
              </w:rPr>
              <w:t>-</w:t>
            </w:r>
            <w:r w:rsidR="00001C53">
              <w:rPr>
                <w:lang w:val="ru-RU"/>
              </w:rPr>
              <w:t>правовой</w:t>
            </w:r>
            <w:r w:rsidR="00001C53" w:rsidRPr="004661BA">
              <w:rPr>
                <w:lang w:val="ru-RU"/>
              </w:rPr>
              <w:t xml:space="preserve"> </w:t>
            </w:r>
            <w:r w:rsidR="00001C53">
              <w:rPr>
                <w:lang w:val="ru-RU"/>
              </w:rPr>
              <w:t>договор</w:t>
            </w:r>
            <w:r w:rsidR="00001C53" w:rsidRPr="004661BA">
              <w:rPr>
                <w:lang w:val="ru-RU"/>
              </w:rPr>
              <w:t xml:space="preserve"> </w:t>
            </w:r>
            <w:r w:rsidR="00001C53">
              <w:rPr>
                <w:lang w:val="ru-RU"/>
              </w:rPr>
              <w:t>или</w:t>
            </w:r>
            <w:r w:rsidR="00001C53" w:rsidRPr="004661BA">
              <w:rPr>
                <w:lang w:val="ru-RU"/>
              </w:rPr>
              <w:t xml:space="preserve"> </w:t>
            </w:r>
            <w:r w:rsidR="00001C53">
              <w:rPr>
                <w:lang w:val="ru-RU"/>
              </w:rPr>
              <w:t>контракт</w:t>
            </w:r>
            <w:r w:rsidR="00001C53" w:rsidRPr="004661BA">
              <w:rPr>
                <w:lang w:val="ru-RU"/>
              </w:rPr>
              <w:t xml:space="preserve"> </w:t>
            </w:r>
            <w:r w:rsidR="00001C53">
              <w:rPr>
                <w:lang w:val="ru-RU"/>
              </w:rPr>
              <w:t>с</w:t>
            </w:r>
            <w:r w:rsidR="00001C53" w:rsidRPr="004661BA">
              <w:rPr>
                <w:lang w:val="ru-RU"/>
              </w:rPr>
              <w:t xml:space="preserve"> </w:t>
            </w:r>
            <w:r w:rsidR="00001C53">
              <w:rPr>
                <w:lang w:val="ru-RU"/>
              </w:rPr>
              <w:t>внешней</w:t>
            </w:r>
            <w:r w:rsidR="00001C53" w:rsidRPr="004661BA">
              <w:rPr>
                <w:lang w:val="ru-RU"/>
              </w:rPr>
              <w:t xml:space="preserve"> </w:t>
            </w:r>
            <w:r w:rsidR="00001C53">
              <w:rPr>
                <w:lang w:val="ru-RU"/>
              </w:rPr>
              <w:t>компанией</w:t>
            </w:r>
            <w:r w:rsidR="00001C53" w:rsidRPr="004661BA">
              <w:rPr>
                <w:lang w:val="ru-RU"/>
              </w:rPr>
              <w:t xml:space="preserve"> </w:t>
            </w:r>
            <w:r w:rsidR="00001C53">
              <w:rPr>
                <w:lang w:val="ru-RU"/>
              </w:rPr>
              <w:t>на предоставление услуг</w:t>
            </w:r>
            <w:r w:rsidR="00C16620">
              <w:rPr>
                <w:lang w:val="ru-RU"/>
              </w:rPr>
              <w:t>: в зависимости от типа подрядчика данный расход может быть включен в бюд</w:t>
            </w:r>
            <w:r w:rsidR="004661BA">
              <w:rPr>
                <w:lang w:val="ru-RU"/>
              </w:rPr>
              <w:t>жетный раздел 1 (договоры</w:t>
            </w:r>
            <w:r w:rsidR="00DC6FEE">
              <w:rPr>
                <w:lang w:val="ru-RU"/>
              </w:rPr>
              <w:t xml:space="preserve"> только</w:t>
            </w:r>
            <w:r w:rsidR="004661BA">
              <w:rPr>
                <w:lang w:val="ru-RU"/>
              </w:rPr>
              <w:t xml:space="preserve"> с физическими </w:t>
            </w:r>
            <w:r w:rsidR="00C16620">
              <w:rPr>
                <w:lang w:val="ru-RU"/>
              </w:rPr>
              <w:t>лицами)</w:t>
            </w:r>
            <w:r w:rsidR="0042345E">
              <w:rPr>
                <w:lang w:val="ru-RU"/>
              </w:rPr>
              <w:t xml:space="preserve"> </w:t>
            </w:r>
            <w:r w:rsidR="00C16620">
              <w:rPr>
                <w:lang w:val="ru-RU"/>
              </w:rPr>
              <w:t>и</w:t>
            </w:r>
            <w:r w:rsidR="0042345E">
              <w:rPr>
                <w:lang w:val="ru-RU"/>
              </w:rPr>
              <w:t>ли</w:t>
            </w:r>
            <w:r w:rsidR="00C16620">
              <w:rPr>
                <w:lang w:val="ru-RU"/>
              </w:rPr>
              <w:t xml:space="preserve"> в бюджетный раздел 4 (контракты с </w:t>
            </w:r>
            <w:r w:rsidR="00C16620">
              <w:rPr>
                <w:lang w:val="ru-RU"/>
              </w:rPr>
              <w:lastRenderedPageBreak/>
              <w:t>физическими и юридическими лицами)</w:t>
            </w:r>
            <w:r w:rsidR="00DC6FEE">
              <w:rPr>
                <w:lang w:val="ru-RU"/>
              </w:rPr>
              <w:t xml:space="preserve">. Однако </w:t>
            </w:r>
            <w:r w:rsidR="00C16620">
              <w:rPr>
                <w:lang w:val="ru-RU"/>
              </w:rPr>
              <w:t>в обоих случаях контракт должен быть заключен в соответстви</w:t>
            </w:r>
            <w:r w:rsidR="00DC6FEE">
              <w:rPr>
                <w:lang w:val="ru-RU"/>
              </w:rPr>
              <w:t>и</w:t>
            </w:r>
            <w:r w:rsidR="00C16620">
              <w:rPr>
                <w:lang w:val="ru-RU"/>
              </w:rPr>
              <w:t xml:space="preserve"> с правилами, изложенными в главе 6.4 Руководств</w:t>
            </w:r>
            <w:r w:rsidR="00FE6ED0">
              <w:rPr>
                <w:lang w:val="ru-RU"/>
              </w:rPr>
              <w:t>е по Программе</w:t>
            </w:r>
            <w:r w:rsidR="00493F72">
              <w:rPr>
                <w:lang w:val="ru-RU"/>
              </w:rPr>
              <w:t xml:space="preserve">, </w:t>
            </w:r>
            <w:r w:rsidR="00C16620">
              <w:rPr>
                <w:lang w:val="ru-RU"/>
              </w:rPr>
              <w:t xml:space="preserve">Часть </w:t>
            </w:r>
            <w:r w:rsidR="00C16620">
              <w:rPr>
                <w:lang w:val="en-US"/>
              </w:rPr>
              <w:t>I</w:t>
            </w:r>
            <w:r w:rsidR="00FE6ED0">
              <w:rPr>
                <w:lang w:val="ru-RU"/>
              </w:rPr>
              <w:t xml:space="preserve"> – Для заявителей</w:t>
            </w:r>
            <w:r w:rsidR="00C16620">
              <w:rPr>
                <w:lang w:val="ru-RU"/>
              </w:rPr>
              <w:t>, то есть с применением положений национального законодательства в отношении бюджетных закупок, публикаци</w:t>
            </w:r>
            <w:r w:rsidR="00DC6FEE">
              <w:rPr>
                <w:lang w:val="ru-RU"/>
              </w:rPr>
              <w:t>ей</w:t>
            </w:r>
            <w:r w:rsidR="00C16620">
              <w:rPr>
                <w:lang w:val="ru-RU"/>
              </w:rPr>
              <w:t xml:space="preserve"> запроса в базе конкурентоспособности или </w:t>
            </w:r>
            <w:r w:rsidR="00DC6FEE">
              <w:rPr>
                <w:lang w:val="ru-RU"/>
              </w:rPr>
              <w:t xml:space="preserve">проведением </w:t>
            </w:r>
            <w:r w:rsidR="00C16620">
              <w:rPr>
                <w:lang w:val="ru-RU"/>
              </w:rPr>
              <w:t>рыночного исследования (в зависимости от оценочной стоимости заказа и типа бенефициара). Бенефициары, подписывающие контракт на оказание услуг/поставку товаров/проведение работ, следуют принципу честной конкуренции и равного отношения к подрядчикам.</w:t>
            </w:r>
          </w:p>
          <w:p w:rsidR="00A80A17" w:rsidRDefault="00C1662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Однако надо помнить, что расходы на поездки лиц, нанятых для исполнения контрактов на услуги и указанных в разделе бюджета 4, не могут быть предусмотрены в бюджетном разделе 2, так как </w:t>
            </w:r>
            <w:r w:rsidR="00493F72">
              <w:rPr>
                <w:lang w:val="ru-RU"/>
              </w:rPr>
              <w:t xml:space="preserve">бюджетный раздел 2 </w:t>
            </w:r>
            <w:r>
              <w:rPr>
                <w:lang w:val="ru-RU"/>
              </w:rPr>
              <w:t xml:space="preserve">касается только персонала проекта. Расходы на передвижения </w:t>
            </w:r>
            <w:r w:rsidR="00493F72">
              <w:rPr>
                <w:lang w:val="ru-RU"/>
              </w:rPr>
              <w:t>данных</w:t>
            </w:r>
            <w:r>
              <w:rPr>
                <w:lang w:val="ru-RU"/>
              </w:rPr>
              <w:t xml:space="preserve"> лиц должны быть включены в стоимость предоставляемых услуг.</w:t>
            </w:r>
          </w:p>
          <w:p w:rsidR="00A80A17" w:rsidRDefault="00C16620">
            <w:pPr>
              <w:spacing w:after="20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Услуги, предоставляемые индивидуальными предпринимателями, должны быть включены в раздел 4. Пожалуйста, помните, что если лица самостоятельной занятости вовлечены в управление проектов, </w:t>
            </w:r>
            <w:r w:rsidR="00493F72">
              <w:rPr>
                <w:lang w:val="ru-RU"/>
              </w:rPr>
              <w:t xml:space="preserve">то им </w:t>
            </w:r>
            <w:r>
              <w:rPr>
                <w:lang w:val="ru-RU"/>
              </w:rPr>
              <w:t xml:space="preserve">будет невозможно оплачивать подготовку финального отчета </w:t>
            </w:r>
            <w:r w:rsidR="00493F72">
              <w:rPr>
                <w:lang w:val="ru-RU"/>
              </w:rPr>
              <w:t xml:space="preserve">в течение </w:t>
            </w:r>
            <w:r>
              <w:rPr>
                <w:lang w:val="ru-RU"/>
              </w:rPr>
              <w:t>3-месячн</w:t>
            </w:r>
            <w:r w:rsidR="00493F72">
              <w:rPr>
                <w:lang w:val="ru-RU"/>
              </w:rPr>
              <w:t>ого</w:t>
            </w:r>
            <w:r>
              <w:rPr>
                <w:lang w:val="ru-RU"/>
              </w:rPr>
              <w:t xml:space="preserve"> период</w:t>
            </w:r>
            <w:r w:rsidR="00493F72">
              <w:rPr>
                <w:lang w:val="ru-RU"/>
              </w:rPr>
              <w:t>а</w:t>
            </w:r>
            <w:r>
              <w:rPr>
                <w:lang w:val="ru-RU"/>
              </w:rPr>
              <w:t xml:space="preserve"> после </w:t>
            </w:r>
            <w:r w:rsidR="00493F72">
              <w:rPr>
                <w:lang w:val="ru-RU"/>
              </w:rPr>
              <w:t xml:space="preserve">завершения </w:t>
            </w:r>
            <w:r>
              <w:rPr>
                <w:lang w:val="ru-RU"/>
              </w:rPr>
              <w:t xml:space="preserve">реализации </w:t>
            </w:r>
            <w:r w:rsidR="007B5EC1">
              <w:rPr>
                <w:lang w:val="ru-RU"/>
              </w:rPr>
              <w:t>проекта, так как эта возможность касается только персонала проекта, включенного в бюджетный раздел 1.</w:t>
            </w:r>
          </w:p>
        </w:tc>
      </w:tr>
      <w:tr w:rsidR="00A404A7" w:rsidRPr="009F0A1A" w:rsidTr="000A3ABE">
        <w:trPr>
          <w:trHeight w:val="272"/>
        </w:trPr>
        <w:tc>
          <w:tcPr>
            <w:tcW w:w="0" w:type="auto"/>
            <w:shd w:val="clear" w:color="auto" w:fill="D9D9D9" w:themeFill="background1" w:themeFillShade="D9"/>
          </w:tcPr>
          <w:p w:rsidR="00A80A17" w:rsidRDefault="00401E42">
            <w:pPr>
              <w:pStyle w:val="Akapitzlist"/>
              <w:tabs>
                <w:tab w:val="left" w:pos="426"/>
              </w:tabs>
              <w:spacing w:before="100" w:beforeAutospacing="1"/>
              <w:ind w:left="0"/>
              <w:jc w:val="both"/>
              <w:rPr>
                <w:b/>
                <w:lang w:val="ru-RU"/>
              </w:rPr>
            </w:pPr>
            <w:r w:rsidRPr="00401E42">
              <w:rPr>
                <w:b/>
                <w:lang w:val="ru-RU"/>
              </w:rPr>
              <w:lastRenderedPageBreak/>
              <w:t xml:space="preserve">7. </w:t>
            </w:r>
            <w:r w:rsidR="004661BA">
              <w:rPr>
                <w:b/>
                <w:lang w:val="ru-RU"/>
              </w:rPr>
              <w:t>На каком</w:t>
            </w:r>
            <w:bookmarkStart w:id="0" w:name="_GoBack"/>
            <w:bookmarkEnd w:id="0"/>
            <w:r w:rsidR="007B5EC1">
              <w:rPr>
                <w:b/>
                <w:lang w:val="ru-RU"/>
              </w:rPr>
              <w:t xml:space="preserve"> языке будет осуществляться переписка между СТС/УО и бенефициарами? </w:t>
            </w:r>
          </w:p>
        </w:tc>
      </w:tr>
      <w:tr w:rsidR="00A404A7" w:rsidRPr="009F0A1A" w:rsidTr="000A3ABE">
        <w:trPr>
          <w:trHeight w:val="272"/>
        </w:trPr>
        <w:tc>
          <w:tcPr>
            <w:tcW w:w="0" w:type="auto"/>
          </w:tcPr>
          <w:p w:rsidR="00A80A17" w:rsidRDefault="007B5EC1">
            <w:pPr>
              <w:spacing w:before="100" w:beforeAutospacing="1"/>
              <w:jc w:val="both"/>
              <w:rPr>
                <w:lang w:val="ru-RU"/>
              </w:rPr>
            </w:pPr>
            <w:r>
              <w:rPr>
                <w:lang w:val="ru-RU"/>
              </w:rPr>
              <w:t>Официальным языком Программы является английский. Все письма от СТС/УО, относящиеся к оценке проекта и его реализации, а также ответы на них со стороны бенефициаров должны быть подготовлены на английском</w:t>
            </w:r>
            <w:r w:rsidR="00493F72">
              <w:rPr>
                <w:lang w:val="ru-RU"/>
              </w:rPr>
              <w:t xml:space="preserve"> языке</w:t>
            </w:r>
            <w:r>
              <w:rPr>
                <w:lang w:val="ru-RU"/>
              </w:rPr>
              <w:t>.</w:t>
            </w:r>
          </w:p>
        </w:tc>
      </w:tr>
      <w:tr w:rsidR="00A404A7" w:rsidRPr="009F0A1A" w:rsidTr="000A3ABE">
        <w:trPr>
          <w:trHeight w:val="328"/>
        </w:trPr>
        <w:tc>
          <w:tcPr>
            <w:tcW w:w="0" w:type="auto"/>
            <w:shd w:val="clear" w:color="auto" w:fill="D9D9D9" w:themeFill="background1" w:themeFillShade="D9"/>
          </w:tcPr>
          <w:p w:rsidR="00A80A17" w:rsidRDefault="00401E42">
            <w:pPr>
              <w:jc w:val="both"/>
              <w:rPr>
                <w:b/>
                <w:lang w:val="ru-RU"/>
              </w:rPr>
            </w:pPr>
            <w:r w:rsidRPr="00401E42">
              <w:rPr>
                <w:b/>
                <w:lang w:val="ru-RU"/>
              </w:rPr>
              <w:t xml:space="preserve">8. </w:t>
            </w:r>
            <w:r w:rsidR="007B5EC1">
              <w:rPr>
                <w:b/>
                <w:lang w:val="ru-RU"/>
              </w:rPr>
              <w:t>Существует ли установленная структура управления проектом? Должен ли каждый проект иметь координатора, менеджера и финансового менеджера?</w:t>
            </w:r>
          </w:p>
        </w:tc>
      </w:tr>
      <w:tr w:rsidR="00A404A7" w:rsidRPr="009F0A1A" w:rsidTr="000A3ABE">
        <w:trPr>
          <w:trHeight w:val="257"/>
        </w:trPr>
        <w:tc>
          <w:tcPr>
            <w:tcW w:w="0" w:type="auto"/>
            <w:tcBorders>
              <w:bottom w:val="single" w:sz="4" w:space="0" w:color="auto"/>
            </w:tcBorders>
          </w:tcPr>
          <w:p w:rsidR="00A80A17" w:rsidRDefault="007B5EC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Нет, каждый бенефициар нанимает персонал, который отвечает объему запланированных мероприятий и количеству человек, требуемому для эффективной реализации. Предполагаемая схема проектной команды указана в главе 3.3 Руководства </w:t>
            </w:r>
            <w:r w:rsidR="00FE6ED0">
              <w:rPr>
                <w:lang w:val="ru-RU"/>
              </w:rPr>
              <w:t>по Программе</w:t>
            </w:r>
            <w:r>
              <w:rPr>
                <w:lang w:val="ru-RU"/>
              </w:rPr>
              <w:t xml:space="preserve">, Часть </w:t>
            </w:r>
            <w:r>
              <w:rPr>
                <w:lang w:val="en-US"/>
              </w:rPr>
              <w:t>II</w:t>
            </w:r>
            <w:r w:rsidR="00401E42" w:rsidRPr="00401E42">
              <w:rPr>
                <w:lang w:val="ru-RU"/>
              </w:rPr>
              <w:t xml:space="preserve"> </w:t>
            </w:r>
            <w:r>
              <w:rPr>
                <w:lang w:val="ru-RU"/>
              </w:rPr>
              <w:t>–</w:t>
            </w:r>
            <w:r w:rsidR="00401E42" w:rsidRPr="00401E42">
              <w:rPr>
                <w:lang w:val="ru-RU"/>
              </w:rPr>
              <w:t xml:space="preserve"> </w:t>
            </w:r>
            <w:r w:rsidR="00493F72">
              <w:rPr>
                <w:lang w:val="ru-RU"/>
              </w:rPr>
              <w:t>Р</w:t>
            </w:r>
            <w:r>
              <w:rPr>
                <w:lang w:val="ru-RU"/>
              </w:rPr>
              <w:t xml:space="preserve">еализация проектов. Пожалуйста, не указывайте имена и фамилии определенных людей в форме заявки. Функции и ответственность вовлеченных в управление проектом должны быть описаны в разделе 5.1 </w:t>
            </w:r>
            <w:r w:rsidR="00493F72">
              <w:rPr>
                <w:lang w:val="ru-RU"/>
              </w:rPr>
              <w:t>ф</w:t>
            </w:r>
            <w:r>
              <w:rPr>
                <w:lang w:val="ru-RU"/>
              </w:rPr>
              <w:t>ормы заявки. Решение о найме определенных лиц должно быть подкреплено их необходимым опытом и проверено в ходе оценки</w:t>
            </w:r>
            <w:r w:rsidR="00493F72">
              <w:rPr>
                <w:lang w:val="ru-RU"/>
              </w:rPr>
              <w:t xml:space="preserve"> качества</w:t>
            </w:r>
            <w:r>
              <w:rPr>
                <w:lang w:val="ru-RU"/>
              </w:rPr>
              <w:t>. Именно поэтому важно вовлекать в реализацию проекта наиболее эффективную команду и доказать в форме заявки, что ее члены имеют необходимые компетенции, так как это повлияет на количество присвоенных заявке баллов.</w:t>
            </w:r>
          </w:p>
        </w:tc>
      </w:tr>
      <w:tr w:rsidR="00026C1E" w:rsidRPr="009F0A1A" w:rsidTr="000A3ABE">
        <w:trPr>
          <w:trHeight w:val="641"/>
        </w:trPr>
        <w:tc>
          <w:tcPr>
            <w:tcW w:w="0" w:type="auto"/>
            <w:shd w:val="clear" w:color="auto" w:fill="D9D9D9" w:themeFill="background1" w:themeFillShade="D9"/>
          </w:tcPr>
          <w:p w:rsidR="00A80A17" w:rsidRDefault="007B5EC1">
            <w:pPr>
              <w:pStyle w:val="Akapitzlist"/>
              <w:numPr>
                <w:ilvl w:val="0"/>
                <w:numId w:val="17"/>
              </w:numPr>
              <w:tabs>
                <w:tab w:val="left" w:pos="426"/>
              </w:tabs>
              <w:ind w:left="0" w:firstLine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Может</w:t>
            </w:r>
            <w:r w:rsidR="00401E42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ли</w:t>
            </w:r>
            <w:r w:rsidR="00401E42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техническая</w:t>
            </w:r>
            <w:r w:rsidR="00401E42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документация</w:t>
            </w:r>
            <w:r w:rsidR="00401E42">
              <w:rPr>
                <w:b/>
                <w:lang w:val="ru-RU"/>
              </w:rPr>
              <w:t xml:space="preserve">, </w:t>
            </w:r>
            <w:r>
              <w:rPr>
                <w:b/>
                <w:lang w:val="ru-RU"/>
              </w:rPr>
              <w:t>смета</w:t>
            </w:r>
            <w:r w:rsidR="00401E42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и</w:t>
            </w:r>
            <w:r w:rsidR="00401E42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полное</w:t>
            </w:r>
            <w:r w:rsidR="00401E42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технико</w:t>
            </w:r>
            <w:r w:rsidR="00401E42">
              <w:rPr>
                <w:b/>
                <w:lang w:val="ru-RU"/>
              </w:rPr>
              <w:t>-</w:t>
            </w:r>
            <w:r>
              <w:rPr>
                <w:b/>
                <w:lang w:val="ru-RU"/>
              </w:rPr>
              <w:t>экономическое</w:t>
            </w:r>
            <w:r w:rsidR="00401E42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обоснование</w:t>
            </w:r>
            <w:r w:rsidR="00401E42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покрывать</w:t>
            </w:r>
            <w:r w:rsidR="00401E42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более</w:t>
            </w:r>
            <w:r w:rsidR="00401E42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широкий</w:t>
            </w:r>
            <w:r w:rsidR="00401E42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объем</w:t>
            </w:r>
            <w:r w:rsidR="00401E42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работ</w:t>
            </w:r>
            <w:r w:rsidR="00401E42">
              <w:rPr>
                <w:b/>
                <w:lang w:val="ru-RU"/>
              </w:rPr>
              <w:t xml:space="preserve">, </w:t>
            </w:r>
            <w:r>
              <w:rPr>
                <w:b/>
                <w:lang w:val="ru-RU"/>
              </w:rPr>
              <w:t>чем</w:t>
            </w:r>
            <w:r w:rsidR="00401E42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запланировано</w:t>
            </w:r>
            <w:r w:rsidR="00401E42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в</w:t>
            </w:r>
            <w:r w:rsidR="00401E42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инфраструктурном</w:t>
            </w:r>
            <w:r w:rsidR="00401E42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компоненте</w:t>
            </w:r>
            <w:r w:rsidR="00401E42">
              <w:rPr>
                <w:b/>
                <w:lang w:val="ru-RU"/>
              </w:rPr>
              <w:t xml:space="preserve"> </w:t>
            </w:r>
            <w:r w:rsidR="00EA0BED">
              <w:rPr>
                <w:b/>
                <w:lang w:val="ru-RU"/>
              </w:rPr>
              <w:t>в рамках проекта?</w:t>
            </w:r>
          </w:p>
        </w:tc>
      </w:tr>
      <w:tr w:rsidR="00026C1E" w:rsidRPr="009F0A1A" w:rsidTr="000A3ABE">
        <w:trPr>
          <w:trHeight w:val="257"/>
        </w:trPr>
        <w:tc>
          <w:tcPr>
            <w:tcW w:w="0" w:type="auto"/>
            <w:tcBorders>
              <w:bottom w:val="single" w:sz="4" w:space="0" w:color="auto"/>
            </w:tcBorders>
          </w:tcPr>
          <w:p w:rsidR="00A80A17" w:rsidRPr="009F0A1A" w:rsidRDefault="00EA0BE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Объем мероприятий и их стоимость, указанные в форме заявки, должны вытекать из документации. Бенефициар должен точно</w:t>
            </w:r>
            <w:r w:rsidR="00FE6ED0">
              <w:rPr>
                <w:lang w:val="ru-RU"/>
              </w:rPr>
              <w:t xml:space="preserve"> указать</w:t>
            </w:r>
            <w:r>
              <w:rPr>
                <w:lang w:val="ru-RU"/>
              </w:rPr>
              <w:t xml:space="preserve">, что </w:t>
            </w:r>
            <w:r w:rsidR="00FE6ED0">
              <w:rPr>
                <w:lang w:val="ru-RU"/>
              </w:rPr>
              <w:t xml:space="preserve">именно </w:t>
            </w:r>
            <w:r>
              <w:rPr>
                <w:lang w:val="ru-RU"/>
              </w:rPr>
              <w:t xml:space="preserve">будет реализовываться </w:t>
            </w:r>
            <w:r w:rsidR="00FE6ED0">
              <w:rPr>
                <w:lang w:val="ru-RU"/>
              </w:rPr>
              <w:t xml:space="preserve">в случае </w:t>
            </w:r>
            <w:r>
              <w:rPr>
                <w:lang w:val="ru-RU"/>
              </w:rPr>
              <w:t>получен</w:t>
            </w:r>
            <w:r w:rsidR="00FE6ED0">
              <w:rPr>
                <w:lang w:val="ru-RU"/>
              </w:rPr>
              <w:t>ия гранта</w:t>
            </w:r>
            <w:r>
              <w:rPr>
                <w:lang w:val="ru-RU"/>
              </w:rPr>
              <w:t xml:space="preserve">, чтобы </w:t>
            </w:r>
            <w:r w:rsidR="00FE6ED0">
              <w:rPr>
                <w:lang w:val="ru-RU"/>
              </w:rPr>
              <w:t xml:space="preserve">при оценке заявки не возникало сомнений по поводу объема предполагаемых работ. </w:t>
            </w:r>
            <w:r>
              <w:rPr>
                <w:lang w:val="ru-RU"/>
              </w:rPr>
              <w:t xml:space="preserve">Также надо продемонстрировать, что реализация мероприятий в более узком объеме по </w:t>
            </w:r>
            <w:r w:rsidR="00FE6ED0">
              <w:rPr>
                <w:lang w:val="ru-RU"/>
              </w:rPr>
              <w:t>сравнению с</w:t>
            </w:r>
            <w:r>
              <w:rPr>
                <w:lang w:val="ru-RU"/>
              </w:rPr>
              <w:t xml:space="preserve"> подготовленной технической документаци</w:t>
            </w:r>
            <w:r w:rsidR="00FE6ED0">
              <w:rPr>
                <w:lang w:val="ru-RU"/>
              </w:rPr>
              <w:t>ей</w:t>
            </w:r>
            <w:r>
              <w:rPr>
                <w:lang w:val="ru-RU"/>
              </w:rPr>
              <w:t xml:space="preserve"> обеспечивает логическую функциональную связь запланированных действий проекта в соответствии с определением проекта, содержащимся в главе 2.3.1 Руководств</w:t>
            </w:r>
            <w:r w:rsidR="00FE6ED0">
              <w:rPr>
                <w:lang w:val="ru-RU"/>
              </w:rPr>
              <w:t>а по Программе</w:t>
            </w:r>
            <w:r>
              <w:rPr>
                <w:lang w:val="ru-RU"/>
              </w:rPr>
              <w:t xml:space="preserve">, Часть </w:t>
            </w:r>
            <w:r>
              <w:rPr>
                <w:lang w:val="en-US"/>
              </w:rPr>
              <w:t>I</w:t>
            </w:r>
            <w:r w:rsidR="00FE6ED0">
              <w:rPr>
                <w:lang w:val="ru-RU"/>
              </w:rPr>
              <w:t xml:space="preserve"> – Для заявителей</w:t>
            </w:r>
            <w:r>
              <w:rPr>
                <w:lang w:val="ru-RU"/>
              </w:rPr>
              <w:t xml:space="preserve">, и обеспечивает достижение ожидаемых целей и приоритетов Программы не только по отношению к </w:t>
            </w:r>
            <w:r w:rsidR="00FE6ED0">
              <w:rPr>
                <w:lang w:val="ru-RU"/>
              </w:rPr>
              <w:t xml:space="preserve">полной </w:t>
            </w:r>
            <w:r>
              <w:rPr>
                <w:lang w:val="ru-RU"/>
              </w:rPr>
              <w:t>технической документации, но и на основе ее рассм</w:t>
            </w:r>
            <w:r w:rsidR="00FE6ED0">
              <w:rPr>
                <w:lang w:val="ru-RU"/>
              </w:rPr>
              <w:t xml:space="preserve">атриваемого </w:t>
            </w:r>
            <w:r>
              <w:rPr>
                <w:lang w:val="ru-RU"/>
              </w:rPr>
              <w:t xml:space="preserve">объема. Отвечая указанным выше требованиям, документация, охватывающая более широкий спектр действий, чем </w:t>
            </w:r>
            <w:r w:rsidR="00FE6ED0">
              <w:rPr>
                <w:lang w:val="ru-RU"/>
              </w:rPr>
              <w:t xml:space="preserve">предполагается </w:t>
            </w:r>
            <w:r>
              <w:rPr>
                <w:lang w:val="ru-RU"/>
              </w:rPr>
              <w:t>проект</w:t>
            </w:r>
            <w:r w:rsidR="00FE6ED0">
              <w:rPr>
                <w:lang w:val="ru-RU"/>
              </w:rPr>
              <w:t>ом</w:t>
            </w:r>
            <w:r>
              <w:rPr>
                <w:lang w:val="ru-RU"/>
              </w:rPr>
              <w:t xml:space="preserve">, может </w:t>
            </w:r>
            <w:r w:rsidR="00FE6ED0">
              <w:rPr>
                <w:lang w:val="ru-RU"/>
              </w:rPr>
              <w:t xml:space="preserve">представлять собой </w:t>
            </w:r>
            <w:r>
              <w:rPr>
                <w:lang w:val="ru-RU"/>
              </w:rPr>
              <w:t>основу для подачи проект</w:t>
            </w:r>
            <w:r w:rsidR="00FE6ED0">
              <w:rPr>
                <w:lang w:val="ru-RU"/>
              </w:rPr>
              <w:t>ной заявки</w:t>
            </w:r>
            <w:r>
              <w:rPr>
                <w:lang w:val="ru-RU"/>
              </w:rPr>
              <w:t>. Но, с другой стороны, полно</w:t>
            </w:r>
            <w:r w:rsidR="006C5EA0">
              <w:rPr>
                <w:lang w:val="ru-RU"/>
              </w:rPr>
              <w:t>е</w:t>
            </w:r>
            <w:r>
              <w:rPr>
                <w:lang w:val="ru-RU"/>
              </w:rPr>
              <w:t xml:space="preserve"> </w:t>
            </w:r>
            <w:r w:rsidR="0042345E">
              <w:rPr>
                <w:lang w:val="ru-RU"/>
              </w:rPr>
              <w:t xml:space="preserve">технико-экономическое обоснование </w:t>
            </w:r>
            <w:r>
              <w:rPr>
                <w:lang w:val="ru-RU"/>
              </w:rPr>
              <w:t>должно быть выполнено в соответствии с инструкциями Программы и относиться только к мероприятиям, запланированным в проек</w:t>
            </w:r>
            <w:r w:rsidR="0042345E">
              <w:rPr>
                <w:lang w:val="ru-RU"/>
              </w:rPr>
              <w:t>т</w:t>
            </w:r>
            <w:r>
              <w:rPr>
                <w:lang w:val="ru-RU"/>
              </w:rPr>
              <w:t>е.</w:t>
            </w:r>
          </w:p>
          <w:p w:rsidR="00A31062" w:rsidRPr="009F0A1A" w:rsidRDefault="00A31062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026C1E" w:rsidRPr="009F0A1A" w:rsidTr="000A3ABE">
        <w:trPr>
          <w:trHeight w:val="257"/>
        </w:trPr>
        <w:tc>
          <w:tcPr>
            <w:tcW w:w="0" w:type="auto"/>
            <w:shd w:val="clear" w:color="auto" w:fill="D9D9D9" w:themeFill="background1" w:themeFillShade="D9"/>
          </w:tcPr>
          <w:p w:rsidR="00A80A17" w:rsidRDefault="006C5EA0">
            <w:pPr>
              <w:pStyle w:val="Akapitzlist"/>
              <w:numPr>
                <w:ilvl w:val="0"/>
                <w:numId w:val="17"/>
              </w:num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 xml:space="preserve">Что </w:t>
            </w:r>
            <w:r w:rsidR="00EA0BED">
              <w:rPr>
                <w:b/>
                <w:lang w:val="ru-RU"/>
              </w:rPr>
              <w:t>понимае</w:t>
            </w:r>
            <w:r>
              <w:rPr>
                <w:b/>
                <w:lang w:val="ru-RU"/>
              </w:rPr>
              <w:t xml:space="preserve">тся под </w:t>
            </w:r>
            <w:r w:rsidR="00EA0BED">
              <w:rPr>
                <w:b/>
                <w:lang w:val="ru-RU"/>
              </w:rPr>
              <w:t>«понесенны</w:t>
            </w:r>
            <w:r>
              <w:rPr>
                <w:b/>
                <w:lang w:val="ru-RU"/>
              </w:rPr>
              <w:t>м расходом</w:t>
            </w:r>
            <w:r w:rsidR="00EA0BED">
              <w:rPr>
                <w:b/>
                <w:lang w:val="ru-RU"/>
              </w:rPr>
              <w:t xml:space="preserve">», когда это касается допустимости ретроактивных расходов на техническую документацию? </w:t>
            </w:r>
          </w:p>
        </w:tc>
      </w:tr>
      <w:tr w:rsidR="00026C1E" w:rsidRPr="009F0A1A" w:rsidTr="000A3ABE">
        <w:trPr>
          <w:trHeight w:val="257"/>
        </w:trPr>
        <w:tc>
          <w:tcPr>
            <w:tcW w:w="0" w:type="auto"/>
          </w:tcPr>
          <w:p w:rsidR="00A80A17" w:rsidRDefault="00EA0BED">
            <w:pPr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>Стоимость</w:t>
            </w:r>
            <w:r w:rsidRPr="004661BA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технической</w:t>
            </w:r>
            <w:r w:rsidRPr="004661BA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документации</w:t>
            </w:r>
            <w:r w:rsidRPr="004661BA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будет</w:t>
            </w:r>
            <w:r w:rsidRPr="004661BA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считаться</w:t>
            </w:r>
            <w:r w:rsidRPr="004661BA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допустимой</w:t>
            </w:r>
            <w:r w:rsidRPr="004661BA">
              <w:rPr>
                <w:lang w:val="ru-RU"/>
              </w:rPr>
              <w:t xml:space="preserve">, </w:t>
            </w:r>
            <w:r>
              <w:rPr>
                <w:lang w:val="ru-RU"/>
              </w:rPr>
              <w:t>если</w:t>
            </w:r>
            <w:r w:rsidRPr="004661BA">
              <w:rPr>
                <w:lang w:val="ru-RU"/>
              </w:rPr>
              <w:t xml:space="preserve"> </w:t>
            </w:r>
            <w:r w:rsidR="007E6143">
              <w:rPr>
                <w:lang w:val="ru-RU"/>
              </w:rPr>
              <w:t xml:space="preserve">ее разработка осуществляется </w:t>
            </w:r>
            <w:r>
              <w:rPr>
                <w:lang w:val="ru-RU"/>
              </w:rPr>
              <w:t>в</w:t>
            </w:r>
            <w:r w:rsidRPr="004661BA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период</w:t>
            </w:r>
            <w:r w:rsidRPr="004661BA">
              <w:rPr>
                <w:lang w:val="ru-RU"/>
              </w:rPr>
              <w:t xml:space="preserve">, </w:t>
            </w:r>
            <w:r>
              <w:rPr>
                <w:lang w:val="ru-RU"/>
              </w:rPr>
              <w:t>указанный</w:t>
            </w:r>
            <w:r w:rsidR="00401E42" w:rsidRPr="00401E42">
              <w:rPr>
                <w:lang w:val="ru-RU"/>
              </w:rPr>
              <w:t xml:space="preserve"> </w:t>
            </w:r>
            <w:r w:rsidR="00AA203E">
              <w:rPr>
                <w:lang w:val="ru-RU"/>
              </w:rPr>
              <w:t>в</w:t>
            </w:r>
            <w:r w:rsidR="00AA203E" w:rsidRPr="004661BA">
              <w:rPr>
                <w:lang w:val="ru-RU"/>
              </w:rPr>
              <w:t xml:space="preserve"> </w:t>
            </w:r>
            <w:r w:rsidR="00AA203E">
              <w:rPr>
                <w:lang w:val="ru-RU"/>
              </w:rPr>
              <w:t>Программе</w:t>
            </w:r>
            <w:r w:rsidR="00AA203E" w:rsidRPr="004661BA">
              <w:rPr>
                <w:lang w:val="ru-RU"/>
              </w:rPr>
              <w:t xml:space="preserve"> (</w:t>
            </w:r>
            <w:r w:rsidR="00AA203E">
              <w:rPr>
                <w:lang w:val="ru-RU"/>
              </w:rPr>
              <w:t>начальная</w:t>
            </w:r>
            <w:r w:rsidR="00AA203E" w:rsidRPr="004661BA">
              <w:rPr>
                <w:lang w:val="ru-RU"/>
              </w:rPr>
              <w:t xml:space="preserve"> </w:t>
            </w:r>
            <w:r w:rsidR="00AA203E">
              <w:rPr>
                <w:lang w:val="ru-RU"/>
              </w:rPr>
              <w:t>дата</w:t>
            </w:r>
            <w:r w:rsidR="00AA203E" w:rsidRPr="004661BA">
              <w:rPr>
                <w:lang w:val="ru-RU"/>
              </w:rPr>
              <w:t xml:space="preserve"> </w:t>
            </w:r>
            <w:r w:rsidR="00AA203E">
              <w:rPr>
                <w:lang w:val="ru-RU"/>
              </w:rPr>
              <w:t>для</w:t>
            </w:r>
            <w:r w:rsidR="00AA203E" w:rsidRPr="004661BA">
              <w:rPr>
                <w:lang w:val="ru-RU"/>
              </w:rPr>
              <w:t xml:space="preserve"> </w:t>
            </w:r>
            <w:r w:rsidR="00AA203E">
              <w:rPr>
                <w:lang w:val="ru-RU"/>
              </w:rPr>
              <w:t>польских бенефициаров</w:t>
            </w:r>
            <w:r w:rsidR="006C5EA0">
              <w:rPr>
                <w:lang w:val="ru-RU"/>
              </w:rPr>
              <w:t xml:space="preserve"> – </w:t>
            </w:r>
            <w:r w:rsidR="00AA203E">
              <w:rPr>
                <w:lang w:val="ru-RU"/>
              </w:rPr>
              <w:t xml:space="preserve">08/12/2016, </w:t>
            </w:r>
            <w:r w:rsidR="006C5EA0">
              <w:rPr>
                <w:lang w:val="ru-RU"/>
              </w:rPr>
              <w:t xml:space="preserve">начальная дата для </w:t>
            </w:r>
            <w:r w:rsidR="00AA203E">
              <w:rPr>
                <w:lang w:val="ru-RU"/>
              </w:rPr>
              <w:t xml:space="preserve">российских бенефициаров </w:t>
            </w:r>
            <w:r w:rsidR="006C5EA0">
              <w:rPr>
                <w:lang w:val="ru-RU"/>
              </w:rPr>
              <w:t xml:space="preserve">– </w:t>
            </w:r>
            <w:r w:rsidR="00AA203E">
              <w:rPr>
                <w:lang w:val="ru-RU"/>
              </w:rPr>
              <w:t>01/01/2018, конечная дата – дата подачи проектно</w:t>
            </w:r>
            <w:r w:rsidR="006C5EA0">
              <w:rPr>
                <w:lang w:val="ru-RU"/>
              </w:rPr>
              <w:t>й заявки</w:t>
            </w:r>
            <w:r w:rsidR="00AA203E">
              <w:rPr>
                <w:lang w:val="ru-RU"/>
              </w:rPr>
              <w:t xml:space="preserve">). </w:t>
            </w:r>
            <w:r w:rsidR="006C5EA0">
              <w:rPr>
                <w:lang w:val="ru-RU"/>
              </w:rPr>
              <w:t xml:space="preserve">При этом принимается во внимание дата </w:t>
            </w:r>
            <w:r w:rsidR="00AA203E">
              <w:rPr>
                <w:lang w:val="ru-RU"/>
              </w:rPr>
              <w:t>принятия работы</w:t>
            </w:r>
            <w:r w:rsidR="006C5EA0">
              <w:rPr>
                <w:lang w:val="ru-RU"/>
              </w:rPr>
              <w:t>,</w:t>
            </w:r>
            <w:r w:rsidR="00AA203E">
              <w:rPr>
                <w:lang w:val="ru-RU"/>
              </w:rPr>
              <w:t xml:space="preserve"> а не дата платежа (напр., дата подпис</w:t>
            </w:r>
            <w:r w:rsidR="006C5EA0">
              <w:rPr>
                <w:lang w:val="ru-RU"/>
              </w:rPr>
              <w:t xml:space="preserve">ания </w:t>
            </w:r>
            <w:r w:rsidR="00AA203E">
              <w:rPr>
                <w:lang w:val="ru-RU"/>
              </w:rPr>
              <w:t>акта о приемке</w:t>
            </w:r>
            <w:r w:rsidR="006C5EA0">
              <w:rPr>
                <w:lang w:val="ru-RU"/>
              </w:rPr>
              <w:t xml:space="preserve"> выполненных работ</w:t>
            </w:r>
            <w:r w:rsidR="00AA203E">
              <w:rPr>
                <w:lang w:val="ru-RU"/>
              </w:rPr>
              <w:t xml:space="preserve"> или </w:t>
            </w:r>
            <w:r w:rsidR="007E6143">
              <w:rPr>
                <w:lang w:val="ru-RU"/>
              </w:rPr>
              <w:t xml:space="preserve">указанные в счет-фактуре </w:t>
            </w:r>
            <w:r w:rsidR="00AA203E">
              <w:rPr>
                <w:lang w:val="ru-RU"/>
              </w:rPr>
              <w:t>дат</w:t>
            </w:r>
            <w:r w:rsidR="007E6143">
              <w:rPr>
                <w:lang w:val="ru-RU"/>
              </w:rPr>
              <w:t xml:space="preserve">ы </w:t>
            </w:r>
            <w:r w:rsidR="00AA203E">
              <w:rPr>
                <w:lang w:val="ru-RU"/>
              </w:rPr>
              <w:t xml:space="preserve">выполнения работ в допустимый период). Ретроактивный расход на техническую документацию </w:t>
            </w:r>
            <w:r w:rsidR="006C5EA0">
              <w:rPr>
                <w:lang w:val="ru-RU"/>
              </w:rPr>
              <w:t xml:space="preserve">для </w:t>
            </w:r>
            <w:r w:rsidR="00AA203E">
              <w:rPr>
                <w:lang w:val="ru-RU"/>
              </w:rPr>
              <w:t xml:space="preserve">инфраструктурного компонента должен быть включен в раздел бюджета 6 </w:t>
            </w:r>
            <w:r w:rsidR="006C5EA0">
              <w:rPr>
                <w:lang w:val="ru-RU"/>
              </w:rPr>
              <w:t>(</w:t>
            </w:r>
            <w:r w:rsidR="00AA203E">
              <w:rPr>
                <w:lang w:val="ru-RU"/>
              </w:rPr>
              <w:t>в отдельн</w:t>
            </w:r>
            <w:r w:rsidR="006C5EA0">
              <w:rPr>
                <w:lang w:val="ru-RU"/>
              </w:rPr>
              <w:t>ой</w:t>
            </w:r>
            <w:r w:rsidR="00AA203E">
              <w:rPr>
                <w:lang w:val="ru-RU"/>
              </w:rPr>
              <w:t xml:space="preserve"> лини</w:t>
            </w:r>
            <w:r w:rsidR="006C5EA0">
              <w:rPr>
                <w:lang w:val="ru-RU"/>
              </w:rPr>
              <w:t>и)</w:t>
            </w:r>
            <w:r w:rsidR="00AA203E">
              <w:rPr>
                <w:lang w:val="ru-RU"/>
              </w:rPr>
              <w:t>.</w:t>
            </w:r>
          </w:p>
        </w:tc>
      </w:tr>
      <w:tr w:rsidR="009D4446" w:rsidRPr="009F0A1A" w:rsidTr="00243AAF">
        <w:trPr>
          <w:trHeight w:val="257"/>
        </w:trPr>
        <w:tc>
          <w:tcPr>
            <w:tcW w:w="0" w:type="auto"/>
            <w:shd w:val="clear" w:color="auto" w:fill="D9D9D9" w:themeFill="background1" w:themeFillShade="D9"/>
          </w:tcPr>
          <w:p w:rsidR="00A80A17" w:rsidRDefault="00AA203E">
            <w:pPr>
              <w:pStyle w:val="Akapitzlist"/>
              <w:numPr>
                <w:ilvl w:val="0"/>
                <w:numId w:val="17"/>
              </w:numPr>
              <w:tabs>
                <w:tab w:val="left" w:pos="426"/>
                <w:tab w:val="left" w:pos="8427"/>
              </w:tabs>
              <w:ind w:left="0" w:firstLine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Должна</w:t>
            </w:r>
            <w:r w:rsidRPr="004661BA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ли</w:t>
            </w:r>
            <w:r w:rsidRPr="004661BA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проверка</w:t>
            </w:r>
            <w:r w:rsidRPr="004661BA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расходов</w:t>
            </w:r>
            <w:r w:rsidRPr="004661BA">
              <w:rPr>
                <w:b/>
                <w:lang w:val="ru-RU"/>
              </w:rPr>
              <w:t xml:space="preserve">, </w:t>
            </w:r>
            <w:r>
              <w:rPr>
                <w:b/>
                <w:lang w:val="ru-RU"/>
              </w:rPr>
              <w:t>включенная</w:t>
            </w:r>
            <w:r w:rsidRPr="004661BA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в</w:t>
            </w:r>
            <w:r w:rsidRPr="004661BA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финансовые</w:t>
            </w:r>
            <w:r w:rsidRPr="004661BA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отчеты, и проверка </w:t>
            </w:r>
            <w:r w:rsidR="002102D6">
              <w:rPr>
                <w:b/>
                <w:lang w:val="ru-RU"/>
              </w:rPr>
              <w:t xml:space="preserve">осуществления </w:t>
            </w:r>
            <w:r>
              <w:rPr>
                <w:b/>
                <w:lang w:val="ru-RU"/>
              </w:rPr>
              <w:t xml:space="preserve">закупок проводиться двумя отдельными внешними аудитами? </w:t>
            </w:r>
          </w:p>
        </w:tc>
      </w:tr>
      <w:tr w:rsidR="009D4446" w:rsidRPr="009F0A1A" w:rsidTr="000A3ABE">
        <w:trPr>
          <w:trHeight w:val="257"/>
        </w:trPr>
        <w:tc>
          <w:tcPr>
            <w:tcW w:w="0" w:type="auto"/>
          </w:tcPr>
          <w:p w:rsidR="00A80A17" w:rsidRDefault="00AA203E">
            <w:pPr>
              <w:jc w:val="both"/>
              <w:rPr>
                <w:rFonts w:ascii="Calibri" w:hAnsi="Calibri"/>
                <w:iCs/>
                <w:lang w:val="ru-RU"/>
              </w:rPr>
            </w:pPr>
            <w:r>
              <w:rPr>
                <w:rFonts w:ascii="Calibri" w:hAnsi="Calibri"/>
                <w:iCs/>
                <w:lang w:val="ru-RU"/>
              </w:rPr>
              <w:t xml:space="preserve">Нет, проверка </w:t>
            </w:r>
            <w:r w:rsidR="002102D6">
              <w:rPr>
                <w:rFonts w:ascii="Calibri" w:hAnsi="Calibri"/>
                <w:iCs/>
                <w:lang w:val="ru-RU"/>
              </w:rPr>
              <w:t xml:space="preserve">осуществления </w:t>
            </w:r>
            <w:r>
              <w:rPr>
                <w:rFonts w:ascii="Calibri" w:hAnsi="Calibri"/>
                <w:iCs/>
                <w:lang w:val="ru-RU"/>
              </w:rPr>
              <w:t>закупок</w:t>
            </w:r>
            <w:r w:rsidR="002102D6">
              <w:rPr>
                <w:rFonts w:ascii="Calibri" w:hAnsi="Calibri"/>
                <w:iCs/>
                <w:lang w:val="ru-RU"/>
              </w:rPr>
              <w:t xml:space="preserve"> в связи с </w:t>
            </w:r>
            <w:r>
              <w:rPr>
                <w:rFonts w:ascii="Calibri" w:hAnsi="Calibri"/>
                <w:iCs/>
                <w:lang w:val="ru-RU"/>
              </w:rPr>
              <w:t>расход</w:t>
            </w:r>
            <w:r w:rsidR="002102D6">
              <w:rPr>
                <w:rFonts w:ascii="Calibri" w:hAnsi="Calibri"/>
                <w:iCs/>
                <w:lang w:val="ru-RU"/>
              </w:rPr>
              <w:t>ами</w:t>
            </w:r>
            <w:r>
              <w:rPr>
                <w:rFonts w:ascii="Calibri" w:hAnsi="Calibri"/>
                <w:iCs/>
                <w:lang w:val="ru-RU"/>
              </w:rPr>
              <w:t>, понесенны</w:t>
            </w:r>
            <w:r w:rsidR="002102D6">
              <w:rPr>
                <w:rFonts w:ascii="Calibri" w:hAnsi="Calibri"/>
                <w:iCs/>
                <w:lang w:val="ru-RU"/>
              </w:rPr>
              <w:t>ми</w:t>
            </w:r>
            <w:r>
              <w:rPr>
                <w:rFonts w:ascii="Calibri" w:hAnsi="Calibri"/>
                <w:iCs/>
                <w:lang w:val="ru-RU"/>
              </w:rPr>
              <w:t xml:space="preserve"> бенефициарами, является одним из элементов проверки отчетов внешними аудиторами. Выбор аудитора, производящего проверку </w:t>
            </w:r>
            <w:r w:rsidR="002102D6">
              <w:rPr>
                <w:rFonts w:ascii="Calibri" w:hAnsi="Calibri"/>
                <w:iCs/>
                <w:lang w:val="ru-RU"/>
              </w:rPr>
              <w:t xml:space="preserve">всех </w:t>
            </w:r>
            <w:r>
              <w:rPr>
                <w:rFonts w:ascii="Calibri" w:hAnsi="Calibri"/>
                <w:iCs/>
                <w:lang w:val="ru-RU"/>
              </w:rPr>
              <w:t>расходов, должен быть сделан в соответствии с правилами присуждения контрактов, установленными в Программе</w:t>
            </w:r>
            <w:r w:rsidR="002102D6">
              <w:rPr>
                <w:rFonts w:ascii="Calibri" w:hAnsi="Calibri"/>
                <w:iCs/>
                <w:lang w:val="ru-RU"/>
              </w:rPr>
              <w:t xml:space="preserve"> (</w:t>
            </w:r>
            <w:r>
              <w:rPr>
                <w:rFonts w:ascii="Calibri" w:hAnsi="Calibri"/>
                <w:iCs/>
                <w:lang w:val="ru-RU"/>
              </w:rPr>
              <w:t>напр.</w:t>
            </w:r>
            <w:r w:rsidR="002102D6">
              <w:rPr>
                <w:rFonts w:ascii="Calibri" w:hAnsi="Calibri"/>
                <w:iCs/>
                <w:lang w:val="ru-RU"/>
              </w:rPr>
              <w:t>,</w:t>
            </w:r>
            <w:r>
              <w:rPr>
                <w:rFonts w:ascii="Calibri" w:hAnsi="Calibri"/>
                <w:iCs/>
                <w:lang w:val="ru-RU"/>
              </w:rPr>
              <w:t xml:space="preserve"> публикация открытого конкурса, основанного на национальных правилах</w:t>
            </w:r>
            <w:r w:rsidR="002102D6">
              <w:rPr>
                <w:rFonts w:ascii="Calibri" w:hAnsi="Calibri"/>
                <w:iCs/>
                <w:lang w:val="ru-RU"/>
              </w:rPr>
              <w:t>,</w:t>
            </w:r>
            <w:r>
              <w:rPr>
                <w:rFonts w:ascii="Calibri" w:hAnsi="Calibri"/>
                <w:iCs/>
                <w:lang w:val="ru-RU"/>
              </w:rPr>
              <w:t xml:space="preserve"> или запрос предложений/рыночное исследование</w:t>
            </w:r>
            <w:r w:rsidR="00B1592F">
              <w:rPr>
                <w:rFonts w:ascii="Calibri" w:hAnsi="Calibri"/>
                <w:iCs/>
                <w:lang w:val="ru-RU"/>
              </w:rPr>
              <w:t>)</w:t>
            </w:r>
            <w:r>
              <w:rPr>
                <w:rFonts w:ascii="Calibri" w:hAnsi="Calibri"/>
                <w:iCs/>
                <w:lang w:val="ru-RU"/>
              </w:rPr>
              <w:t>.</w:t>
            </w:r>
          </w:p>
          <w:p w:rsidR="00A80A17" w:rsidRDefault="00AA203E">
            <w:pPr>
              <w:jc w:val="both"/>
              <w:rPr>
                <w:rFonts w:ascii="Calibri" w:hAnsi="Calibri"/>
                <w:iCs/>
                <w:lang w:val="ru-RU"/>
              </w:rPr>
            </w:pPr>
            <w:r>
              <w:rPr>
                <w:rFonts w:ascii="Calibri" w:hAnsi="Calibri"/>
                <w:iCs/>
                <w:lang w:val="ru-RU"/>
              </w:rPr>
              <w:t xml:space="preserve">В процедуру, ведущую к </w:t>
            </w:r>
            <w:r w:rsidR="00B1592F">
              <w:rPr>
                <w:rFonts w:ascii="Calibri" w:hAnsi="Calibri"/>
                <w:iCs/>
                <w:lang w:val="ru-RU"/>
              </w:rPr>
              <w:t>выбо</w:t>
            </w:r>
            <w:r w:rsidR="0042345E">
              <w:rPr>
                <w:rFonts w:ascii="Calibri" w:hAnsi="Calibri"/>
                <w:iCs/>
                <w:lang w:val="ru-RU"/>
              </w:rPr>
              <w:t>р</w:t>
            </w:r>
            <w:r w:rsidR="00B1592F">
              <w:rPr>
                <w:rFonts w:ascii="Calibri" w:hAnsi="Calibri"/>
                <w:iCs/>
                <w:lang w:val="ru-RU"/>
              </w:rPr>
              <w:t>у</w:t>
            </w:r>
            <w:r>
              <w:rPr>
                <w:rFonts w:ascii="Calibri" w:hAnsi="Calibri"/>
                <w:iCs/>
                <w:lang w:val="ru-RU"/>
              </w:rPr>
              <w:t xml:space="preserve"> аудитора, бенефициар должен включить все квалификационные требования, которы</w:t>
            </w:r>
            <w:r w:rsidR="00B1592F">
              <w:rPr>
                <w:rFonts w:ascii="Calibri" w:hAnsi="Calibri"/>
                <w:iCs/>
                <w:lang w:val="ru-RU"/>
              </w:rPr>
              <w:t>м</w:t>
            </w:r>
            <w:r>
              <w:rPr>
                <w:rFonts w:ascii="Calibri" w:hAnsi="Calibri"/>
                <w:iCs/>
                <w:lang w:val="ru-RU"/>
              </w:rPr>
              <w:t xml:space="preserve"> аудитор должен </w:t>
            </w:r>
            <w:r w:rsidR="00B1592F">
              <w:rPr>
                <w:rFonts w:ascii="Calibri" w:hAnsi="Calibri"/>
                <w:iCs/>
                <w:lang w:val="ru-RU"/>
              </w:rPr>
              <w:t>соответствовать, а также</w:t>
            </w:r>
            <w:r>
              <w:rPr>
                <w:rFonts w:ascii="Calibri" w:hAnsi="Calibri"/>
                <w:iCs/>
                <w:lang w:val="ru-RU"/>
              </w:rPr>
              <w:t xml:space="preserve"> описать все его задачи, включая и те, </w:t>
            </w:r>
            <w:r w:rsidR="00B1592F">
              <w:rPr>
                <w:rFonts w:ascii="Calibri" w:hAnsi="Calibri"/>
                <w:iCs/>
                <w:lang w:val="ru-RU"/>
              </w:rPr>
              <w:t xml:space="preserve">которые </w:t>
            </w:r>
            <w:r>
              <w:rPr>
                <w:rFonts w:ascii="Calibri" w:hAnsi="Calibri"/>
                <w:iCs/>
                <w:lang w:val="ru-RU"/>
              </w:rPr>
              <w:t>касаются контроля за заключенными контрактами</w:t>
            </w:r>
            <w:r w:rsidR="00DD3C3D">
              <w:rPr>
                <w:rFonts w:ascii="Calibri" w:hAnsi="Calibri"/>
                <w:iCs/>
                <w:lang w:val="ru-RU"/>
              </w:rPr>
              <w:t xml:space="preserve"> в проекте. Предоставление </w:t>
            </w:r>
            <w:r w:rsidR="00B1592F">
              <w:rPr>
                <w:rFonts w:ascii="Calibri" w:hAnsi="Calibri"/>
                <w:iCs/>
                <w:lang w:val="ru-RU"/>
              </w:rPr>
              <w:t>ау</w:t>
            </w:r>
            <w:r w:rsidR="0042345E">
              <w:rPr>
                <w:rFonts w:ascii="Calibri" w:hAnsi="Calibri"/>
                <w:iCs/>
                <w:lang w:val="ru-RU"/>
              </w:rPr>
              <w:t>д</w:t>
            </w:r>
            <w:r w:rsidR="00DD3C3D">
              <w:rPr>
                <w:rFonts w:ascii="Calibri" w:hAnsi="Calibri"/>
                <w:iCs/>
                <w:lang w:val="ru-RU"/>
              </w:rPr>
              <w:t>итора, который отвечает всем указанным квалификациям, является обязанностью исполнителя контракта: это может быть один аудитор</w:t>
            </w:r>
            <w:r w:rsidR="0042345E">
              <w:rPr>
                <w:rFonts w:ascii="Calibri" w:hAnsi="Calibri"/>
                <w:iCs/>
                <w:lang w:val="ru-RU"/>
              </w:rPr>
              <w:t xml:space="preserve">, </w:t>
            </w:r>
            <w:r w:rsidR="00DD3C3D">
              <w:rPr>
                <w:rFonts w:ascii="Calibri" w:hAnsi="Calibri"/>
                <w:iCs/>
                <w:lang w:val="ru-RU"/>
              </w:rPr>
              <w:t xml:space="preserve">или это может </w:t>
            </w:r>
            <w:r w:rsidR="00B1592F">
              <w:rPr>
                <w:rFonts w:ascii="Calibri" w:hAnsi="Calibri"/>
                <w:iCs/>
                <w:lang w:val="ru-RU"/>
              </w:rPr>
              <w:t xml:space="preserve">быть </w:t>
            </w:r>
            <w:r w:rsidR="00DD3C3D">
              <w:rPr>
                <w:rFonts w:ascii="Calibri" w:hAnsi="Calibri"/>
                <w:iCs/>
                <w:lang w:val="ru-RU"/>
              </w:rPr>
              <w:t xml:space="preserve">партнерство, основанное на консорциуме или гражданско-правовом договоре. Выбранный аудитор или консорциум должен </w:t>
            </w:r>
            <w:r w:rsidR="00B1592F">
              <w:rPr>
                <w:rFonts w:ascii="Calibri" w:hAnsi="Calibri"/>
                <w:iCs/>
                <w:lang w:val="ru-RU"/>
              </w:rPr>
              <w:t xml:space="preserve">быть </w:t>
            </w:r>
            <w:r w:rsidR="00DD3C3D">
              <w:rPr>
                <w:rFonts w:ascii="Calibri" w:hAnsi="Calibri"/>
                <w:iCs/>
                <w:lang w:val="ru-RU"/>
              </w:rPr>
              <w:t xml:space="preserve">затем одобрен </w:t>
            </w:r>
            <w:r w:rsidR="004661BA">
              <w:rPr>
                <w:rFonts w:ascii="Calibri" w:hAnsi="Calibri"/>
                <w:iCs/>
                <w:lang w:val="ru-RU"/>
              </w:rPr>
              <w:t>Контактны</w:t>
            </w:r>
            <w:r w:rsidR="00B1592F">
              <w:rPr>
                <w:rFonts w:ascii="Calibri" w:hAnsi="Calibri"/>
                <w:iCs/>
                <w:lang w:val="ru-RU"/>
              </w:rPr>
              <w:t>м</w:t>
            </w:r>
            <w:r w:rsidR="004661BA">
              <w:rPr>
                <w:rFonts w:ascii="Calibri" w:hAnsi="Calibri"/>
                <w:iCs/>
                <w:lang w:val="ru-RU"/>
              </w:rPr>
              <w:t xml:space="preserve"> пунктом контроля.</w:t>
            </w:r>
          </w:p>
        </w:tc>
      </w:tr>
    </w:tbl>
    <w:p w:rsidR="00214A2C" w:rsidRPr="007D773A" w:rsidRDefault="00214A2C" w:rsidP="00214A2C">
      <w:pPr>
        <w:jc w:val="both"/>
        <w:rPr>
          <w:b/>
          <w:lang w:val="ru-RU"/>
        </w:rPr>
      </w:pPr>
    </w:p>
    <w:sectPr w:rsidR="00214A2C" w:rsidRPr="007D773A" w:rsidSect="00A404A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EB8" w:rsidRDefault="007D6EB8" w:rsidP="000164E8">
      <w:pPr>
        <w:spacing w:after="0" w:line="240" w:lineRule="auto"/>
      </w:pPr>
      <w:r>
        <w:separator/>
      </w:r>
    </w:p>
  </w:endnote>
  <w:endnote w:type="continuationSeparator" w:id="0">
    <w:p w:rsidR="007D6EB8" w:rsidRDefault="007D6EB8" w:rsidP="0001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6695860"/>
      <w:docPartObj>
        <w:docPartGallery w:val="Page Numbers (Bottom of Page)"/>
        <w:docPartUnique/>
      </w:docPartObj>
    </w:sdtPr>
    <w:sdtContent>
      <w:p w:rsidR="007E6143" w:rsidRDefault="00A80A17">
        <w:pPr>
          <w:pStyle w:val="Stopka"/>
          <w:jc w:val="right"/>
        </w:pPr>
        <w:fldSimple w:instr=" PAGE   \* MERGEFORMAT ">
          <w:r w:rsidR="009F0A1A">
            <w:rPr>
              <w:noProof/>
            </w:rPr>
            <w:t>2</w:t>
          </w:r>
        </w:fldSimple>
      </w:p>
    </w:sdtContent>
  </w:sdt>
  <w:p w:rsidR="007E6143" w:rsidRDefault="007E61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EB8" w:rsidRDefault="007D6EB8" w:rsidP="000164E8">
      <w:pPr>
        <w:spacing w:after="0" w:line="240" w:lineRule="auto"/>
      </w:pPr>
      <w:r>
        <w:separator/>
      </w:r>
    </w:p>
  </w:footnote>
  <w:footnote w:type="continuationSeparator" w:id="0">
    <w:p w:rsidR="007D6EB8" w:rsidRDefault="007D6EB8" w:rsidP="00016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143" w:rsidRDefault="007E6143" w:rsidP="00A404A7">
    <w:pPr>
      <w:rPr>
        <w:b/>
        <w:color w:val="548DD4" w:themeColor="text2" w:themeTint="99"/>
        <w:sz w:val="28"/>
        <w:szCs w:val="28"/>
      </w:rPr>
    </w:pPr>
    <w:r w:rsidRPr="000164E8">
      <w:rPr>
        <w:noProof/>
      </w:rPr>
      <w:drawing>
        <wp:inline distT="0" distB="0" distL="0" distR="0">
          <wp:extent cx="2714625" cy="689283"/>
          <wp:effectExtent l="19050" t="0" r="9525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689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b/>
        <w:sz w:val="28"/>
        <w:szCs w:val="28"/>
        <w:lang w:val="ru-RU"/>
      </w:rPr>
      <w:t>ВОПРОСЫ И ОТВЕТЫ</w:t>
    </w:r>
    <w:r w:rsidRPr="00335AEE">
      <w:rPr>
        <w:b/>
        <w:sz w:val="28"/>
        <w:szCs w:val="28"/>
      </w:rPr>
      <w:t xml:space="preserve"> </w:t>
    </w:r>
    <w:r w:rsidR="009F0A1A">
      <w:rPr>
        <w:b/>
        <w:color w:val="548DD4" w:themeColor="text2" w:themeTint="99"/>
        <w:sz w:val="28"/>
        <w:szCs w:val="28"/>
      </w:rPr>
      <w:t>2</w:t>
    </w:r>
    <w:r>
      <w:rPr>
        <w:b/>
        <w:color w:val="548DD4" w:themeColor="text2" w:themeTint="99"/>
        <w:sz w:val="28"/>
        <w:szCs w:val="28"/>
      </w:rPr>
      <w:t>4</w:t>
    </w:r>
    <w:r w:rsidRPr="00335AEE">
      <w:rPr>
        <w:b/>
        <w:color w:val="548DD4" w:themeColor="text2" w:themeTint="99"/>
        <w:sz w:val="28"/>
        <w:szCs w:val="28"/>
      </w:rPr>
      <w:t xml:space="preserve"> </w:t>
    </w:r>
    <w:r>
      <w:rPr>
        <w:b/>
        <w:color w:val="548DD4" w:themeColor="text2" w:themeTint="99"/>
        <w:sz w:val="28"/>
        <w:szCs w:val="28"/>
        <w:lang w:val="ru-RU"/>
      </w:rPr>
      <w:t>мая</w:t>
    </w:r>
    <w:r w:rsidRPr="00335AEE">
      <w:rPr>
        <w:b/>
        <w:color w:val="548DD4" w:themeColor="text2" w:themeTint="99"/>
        <w:sz w:val="28"/>
        <w:szCs w:val="28"/>
      </w:rPr>
      <w:t xml:space="preserve"> 201</w:t>
    </w:r>
    <w:r>
      <w:rPr>
        <w:b/>
        <w:color w:val="548DD4" w:themeColor="text2" w:themeTint="99"/>
        <w:sz w:val="28"/>
        <w:szCs w:val="28"/>
      </w:rPr>
      <w:t>8</w:t>
    </w:r>
  </w:p>
  <w:p w:rsidR="007E6143" w:rsidRPr="00A404A7" w:rsidRDefault="007E6143" w:rsidP="00A404A7">
    <w:pPr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09F1"/>
    <w:multiLevelType w:val="hybridMultilevel"/>
    <w:tmpl w:val="40D82D62"/>
    <w:lvl w:ilvl="0" w:tplc="D9A40AD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5E00"/>
    <w:multiLevelType w:val="hybridMultilevel"/>
    <w:tmpl w:val="63A2B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C592C"/>
    <w:multiLevelType w:val="hybridMultilevel"/>
    <w:tmpl w:val="786E851A"/>
    <w:lvl w:ilvl="0" w:tplc="D9A40AD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42EAD"/>
    <w:multiLevelType w:val="hybridMultilevel"/>
    <w:tmpl w:val="E2543070"/>
    <w:lvl w:ilvl="0" w:tplc="0415000F">
      <w:start w:val="1"/>
      <w:numFmt w:val="decimal"/>
      <w:lvlText w:val="%1."/>
      <w:lvlJc w:val="left"/>
      <w:pPr>
        <w:ind w:left="178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4">
    <w:nsid w:val="296C5CC7"/>
    <w:multiLevelType w:val="hybridMultilevel"/>
    <w:tmpl w:val="4D8C6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E2E3A"/>
    <w:multiLevelType w:val="hybridMultilevel"/>
    <w:tmpl w:val="91E8F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15DBF"/>
    <w:multiLevelType w:val="hybridMultilevel"/>
    <w:tmpl w:val="CDBC5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5271B"/>
    <w:multiLevelType w:val="hybridMultilevel"/>
    <w:tmpl w:val="D1A40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72DA3"/>
    <w:multiLevelType w:val="hybridMultilevel"/>
    <w:tmpl w:val="D6DAF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7243A"/>
    <w:multiLevelType w:val="hybridMultilevel"/>
    <w:tmpl w:val="3D66EBC0"/>
    <w:lvl w:ilvl="0" w:tplc="835281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50070"/>
    <w:multiLevelType w:val="hybridMultilevel"/>
    <w:tmpl w:val="2C7CD572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>
    <w:nsid w:val="617C2232"/>
    <w:multiLevelType w:val="hybridMultilevel"/>
    <w:tmpl w:val="CBF4D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C7D45"/>
    <w:multiLevelType w:val="hybridMultilevel"/>
    <w:tmpl w:val="83968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70CE8"/>
    <w:multiLevelType w:val="hybridMultilevel"/>
    <w:tmpl w:val="F55ED874"/>
    <w:lvl w:ilvl="0" w:tplc="82E2AB3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F3118B"/>
    <w:multiLevelType w:val="hybridMultilevel"/>
    <w:tmpl w:val="62D4F30E"/>
    <w:lvl w:ilvl="0" w:tplc="BC9AF80A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D83FDC"/>
    <w:multiLevelType w:val="hybridMultilevel"/>
    <w:tmpl w:val="8C0C161E"/>
    <w:lvl w:ilvl="0" w:tplc="D9A40AD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E443C8"/>
    <w:multiLevelType w:val="hybridMultilevel"/>
    <w:tmpl w:val="4672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3"/>
  </w:num>
  <w:num w:numId="5">
    <w:abstractNumId w:val="5"/>
  </w:num>
  <w:num w:numId="6">
    <w:abstractNumId w:val="7"/>
  </w:num>
  <w:num w:numId="7">
    <w:abstractNumId w:val="14"/>
  </w:num>
  <w:num w:numId="8">
    <w:abstractNumId w:val="16"/>
  </w:num>
  <w:num w:numId="9">
    <w:abstractNumId w:val="8"/>
  </w:num>
  <w:num w:numId="10">
    <w:abstractNumId w:val="9"/>
  </w:num>
  <w:num w:numId="11">
    <w:abstractNumId w:val="10"/>
  </w:num>
  <w:num w:numId="12">
    <w:abstractNumId w:val="1"/>
  </w:num>
  <w:num w:numId="13">
    <w:abstractNumId w:val="6"/>
  </w:num>
  <w:num w:numId="14">
    <w:abstractNumId w:val="12"/>
  </w:num>
  <w:num w:numId="15">
    <w:abstractNumId w:val="15"/>
  </w:num>
  <w:num w:numId="16">
    <w:abstractNumId w:val="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64E8"/>
    <w:rsid w:val="00001C53"/>
    <w:rsid w:val="000164E8"/>
    <w:rsid w:val="00026C1E"/>
    <w:rsid w:val="00053EBB"/>
    <w:rsid w:val="00054D53"/>
    <w:rsid w:val="00057705"/>
    <w:rsid w:val="000864E3"/>
    <w:rsid w:val="000A3ABE"/>
    <w:rsid w:val="000B33D4"/>
    <w:rsid w:val="000C71C0"/>
    <w:rsid w:val="000D6E94"/>
    <w:rsid w:val="00107B79"/>
    <w:rsid w:val="001161C6"/>
    <w:rsid w:val="00141FCD"/>
    <w:rsid w:val="0017035F"/>
    <w:rsid w:val="001723C8"/>
    <w:rsid w:val="00182300"/>
    <w:rsid w:val="00185035"/>
    <w:rsid w:val="001A515F"/>
    <w:rsid w:val="001B31A0"/>
    <w:rsid w:val="001B38D5"/>
    <w:rsid w:val="001B4409"/>
    <w:rsid w:val="001B48BA"/>
    <w:rsid w:val="001D6B58"/>
    <w:rsid w:val="001E3CE0"/>
    <w:rsid w:val="002038C8"/>
    <w:rsid w:val="002073F3"/>
    <w:rsid w:val="002102D6"/>
    <w:rsid w:val="00214A2C"/>
    <w:rsid w:val="00214D67"/>
    <w:rsid w:val="00243AAF"/>
    <w:rsid w:val="00251A94"/>
    <w:rsid w:val="00271CC3"/>
    <w:rsid w:val="00282358"/>
    <w:rsid w:val="0029089C"/>
    <w:rsid w:val="002A172E"/>
    <w:rsid w:val="002A1782"/>
    <w:rsid w:val="002C23C8"/>
    <w:rsid w:val="002F1BCF"/>
    <w:rsid w:val="003007D3"/>
    <w:rsid w:val="00303A58"/>
    <w:rsid w:val="00316FEF"/>
    <w:rsid w:val="0032079B"/>
    <w:rsid w:val="00335AEE"/>
    <w:rsid w:val="00340610"/>
    <w:rsid w:val="003475F8"/>
    <w:rsid w:val="00357483"/>
    <w:rsid w:val="0038255A"/>
    <w:rsid w:val="003E516B"/>
    <w:rsid w:val="00401E42"/>
    <w:rsid w:val="00402866"/>
    <w:rsid w:val="004157E7"/>
    <w:rsid w:val="0042345E"/>
    <w:rsid w:val="0043246B"/>
    <w:rsid w:val="00442C83"/>
    <w:rsid w:val="004661BA"/>
    <w:rsid w:val="00493F72"/>
    <w:rsid w:val="004A5A3A"/>
    <w:rsid w:val="004D3AB8"/>
    <w:rsid w:val="004E64E9"/>
    <w:rsid w:val="004F2F3A"/>
    <w:rsid w:val="00507951"/>
    <w:rsid w:val="005107F0"/>
    <w:rsid w:val="005535A7"/>
    <w:rsid w:val="00575553"/>
    <w:rsid w:val="005766FF"/>
    <w:rsid w:val="00577285"/>
    <w:rsid w:val="00586072"/>
    <w:rsid w:val="005C53D4"/>
    <w:rsid w:val="005C5861"/>
    <w:rsid w:val="005F0BD2"/>
    <w:rsid w:val="00600372"/>
    <w:rsid w:val="006205CA"/>
    <w:rsid w:val="00650785"/>
    <w:rsid w:val="006B24CD"/>
    <w:rsid w:val="006C5EA0"/>
    <w:rsid w:val="00700B70"/>
    <w:rsid w:val="00705BC0"/>
    <w:rsid w:val="00770066"/>
    <w:rsid w:val="0078075E"/>
    <w:rsid w:val="00790A24"/>
    <w:rsid w:val="00791FE1"/>
    <w:rsid w:val="007B5EC1"/>
    <w:rsid w:val="007D0702"/>
    <w:rsid w:val="007D6EB8"/>
    <w:rsid w:val="007D773A"/>
    <w:rsid w:val="007E09D4"/>
    <w:rsid w:val="007E6143"/>
    <w:rsid w:val="007F0395"/>
    <w:rsid w:val="007F180F"/>
    <w:rsid w:val="00802BE4"/>
    <w:rsid w:val="00816C25"/>
    <w:rsid w:val="00824641"/>
    <w:rsid w:val="0084303E"/>
    <w:rsid w:val="008A6628"/>
    <w:rsid w:val="008F5BF8"/>
    <w:rsid w:val="0094062D"/>
    <w:rsid w:val="00973A31"/>
    <w:rsid w:val="00983FC0"/>
    <w:rsid w:val="009A0DE4"/>
    <w:rsid w:val="009C1857"/>
    <w:rsid w:val="009C5AEF"/>
    <w:rsid w:val="009D4446"/>
    <w:rsid w:val="009F0A1A"/>
    <w:rsid w:val="00A21083"/>
    <w:rsid w:val="00A31062"/>
    <w:rsid w:val="00A352BC"/>
    <w:rsid w:val="00A404A7"/>
    <w:rsid w:val="00A40FBA"/>
    <w:rsid w:val="00A55603"/>
    <w:rsid w:val="00A779A5"/>
    <w:rsid w:val="00A80A17"/>
    <w:rsid w:val="00A81088"/>
    <w:rsid w:val="00AA203E"/>
    <w:rsid w:val="00AC4CDE"/>
    <w:rsid w:val="00AC7DF3"/>
    <w:rsid w:val="00AE2715"/>
    <w:rsid w:val="00B1592F"/>
    <w:rsid w:val="00B850D6"/>
    <w:rsid w:val="00B92746"/>
    <w:rsid w:val="00B97D10"/>
    <w:rsid w:val="00BD614E"/>
    <w:rsid w:val="00BE7222"/>
    <w:rsid w:val="00C042BD"/>
    <w:rsid w:val="00C16620"/>
    <w:rsid w:val="00C400D0"/>
    <w:rsid w:val="00C52112"/>
    <w:rsid w:val="00C56727"/>
    <w:rsid w:val="00C97D74"/>
    <w:rsid w:val="00D34288"/>
    <w:rsid w:val="00D51F14"/>
    <w:rsid w:val="00D6472D"/>
    <w:rsid w:val="00DA5F6A"/>
    <w:rsid w:val="00DB74BF"/>
    <w:rsid w:val="00DC16CA"/>
    <w:rsid w:val="00DC6FEE"/>
    <w:rsid w:val="00DD230F"/>
    <w:rsid w:val="00DD3C3D"/>
    <w:rsid w:val="00E15C94"/>
    <w:rsid w:val="00E30EB5"/>
    <w:rsid w:val="00E43012"/>
    <w:rsid w:val="00E54FC2"/>
    <w:rsid w:val="00E66E39"/>
    <w:rsid w:val="00E6704C"/>
    <w:rsid w:val="00E75FAE"/>
    <w:rsid w:val="00E84BEA"/>
    <w:rsid w:val="00E94447"/>
    <w:rsid w:val="00EA0BED"/>
    <w:rsid w:val="00EB1E7D"/>
    <w:rsid w:val="00EB24F2"/>
    <w:rsid w:val="00EC3C98"/>
    <w:rsid w:val="00ED779E"/>
    <w:rsid w:val="00EE27A5"/>
    <w:rsid w:val="00EF43A6"/>
    <w:rsid w:val="00F03894"/>
    <w:rsid w:val="00F430B8"/>
    <w:rsid w:val="00F930E8"/>
    <w:rsid w:val="00FA7121"/>
    <w:rsid w:val="00FB052B"/>
    <w:rsid w:val="00FC65B4"/>
    <w:rsid w:val="00FE0032"/>
    <w:rsid w:val="00FE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1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4E8"/>
  </w:style>
  <w:style w:type="paragraph" w:styleId="Stopka">
    <w:name w:val="footer"/>
    <w:basedOn w:val="Normalny"/>
    <w:link w:val="StopkaZnak"/>
    <w:uiPriority w:val="99"/>
    <w:unhideWhenUsed/>
    <w:rsid w:val="0001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4E8"/>
  </w:style>
  <w:style w:type="paragraph" w:styleId="Tekstdymka">
    <w:name w:val="Balloon Text"/>
    <w:basedOn w:val="Normalny"/>
    <w:link w:val="TekstdymkaZnak"/>
    <w:uiPriority w:val="99"/>
    <w:semiHidden/>
    <w:unhideWhenUsed/>
    <w:rsid w:val="00016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4E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6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64E8"/>
    <w:pPr>
      <w:ind w:left="720"/>
      <w:contextualSpacing/>
    </w:pPr>
  </w:style>
  <w:style w:type="paragraph" w:styleId="Tekstpodstawowy">
    <w:name w:val="Body Text"/>
    <w:aliases w:val="Standard paragraph,wypunktowanie"/>
    <w:basedOn w:val="Normalny"/>
    <w:link w:val="TekstpodstawowyZnak"/>
    <w:rsid w:val="000164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TekstpodstawowyZnak">
    <w:name w:val="Tekst podstawowy Znak"/>
    <w:aliases w:val="Standard paragraph Znak,wypunktowanie Znak"/>
    <w:basedOn w:val="Domylnaczcionkaakapitu"/>
    <w:link w:val="Tekstpodstawowy"/>
    <w:rsid w:val="000164E8"/>
    <w:rPr>
      <w:rFonts w:ascii="Times New Roman" w:eastAsia="Times New Roman" w:hAnsi="Times New Roman" w:cs="Times New Roman"/>
      <w:sz w:val="24"/>
      <w:szCs w:val="20"/>
      <w:lang w:val="ru-RU" w:eastAsia="pl-PL"/>
    </w:rPr>
  </w:style>
  <w:style w:type="paragraph" w:customStyle="1" w:styleId="Akapitzlist1">
    <w:name w:val="Akapit z listą1"/>
    <w:basedOn w:val="Normalny"/>
    <w:rsid w:val="00335AEE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Poprawka">
    <w:name w:val="Revision"/>
    <w:hidden/>
    <w:uiPriority w:val="99"/>
    <w:semiHidden/>
    <w:rsid w:val="000C71C0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unhideWhenUsed/>
    <w:rsid w:val="002038C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038C8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5B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5B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5B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B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BC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NagwekZnak"/>
    <w:uiPriority w:val="99"/>
    <w:unhideWhenUsed/>
    <w:rsid w:val="0001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a0"/>
    <w:link w:val="a3"/>
    <w:uiPriority w:val="99"/>
    <w:rsid w:val="000164E8"/>
  </w:style>
  <w:style w:type="paragraph" w:styleId="a4">
    <w:name w:val="footer"/>
    <w:basedOn w:val="a"/>
    <w:link w:val="StopkaZnak"/>
    <w:uiPriority w:val="99"/>
    <w:unhideWhenUsed/>
    <w:rsid w:val="0001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a0"/>
    <w:link w:val="a4"/>
    <w:uiPriority w:val="99"/>
    <w:rsid w:val="000164E8"/>
  </w:style>
  <w:style w:type="paragraph" w:styleId="a5">
    <w:name w:val="Balloon Text"/>
    <w:basedOn w:val="a"/>
    <w:link w:val="TekstdymkaZnak"/>
    <w:uiPriority w:val="99"/>
    <w:semiHidden/>
    <w:unhideWhenUsed/>
    <w:rsid w:val="00016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a0"/>
    <w:link w:val="a5"/>
    <w:uiPriority w:val="99"/>
    <w:semiHidden/>
    <w:rsid w:val="000164E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1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164E8"/>
    <w:pPr>
      <w:ind w:left="720"/>
      <w:contextualSpacing/>
    </w:pPr>
  </w:style>
  <w:style w:type="paragraph" w:styleId="a8">
    <w:name w:val="Body Text"/>
    <w:aliases w:val="Standard paragraph,wypunktowanie"/>
    <w:basedOn w:val="a"/>
    <w:link w:val="TekstpodstawowyZnak"/>
    <w:rsid w:val="000164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TekstpodstawowyZnak">
    <w:name w:val="Tekst podstawowy Znak"/>
    <w:aliases w:val="Standard paragraph Znak,wypunktowanie Znak"/>
    <w:basedOn w:val="a0"/>
    <w:link w:val="a8"/>
    <w:rsid w:val="000164E8"/>
    <w:rPr>
      <w:rFonts w:ascii="Times New Roman" w:eastAsia="Times New Roman" w:hAnsi="Times New Roman" w:cs="Times New Roman"/>
      <w:sz w:val="24"/>
      <w:szCs w:val="20"/>
      <w:lang w:val="ru-RU" w:eastAsia="pl-PL"/>
    </w:rPr>
  </w:style>
  <w:style w:type="paragraph" w:customStyle="1" w:styleId="Akapitzlist1">
    <w:name w:val="Akapit z listą1"/>
    <w:basedOn w:val="a"/>
    <w:rsid w:val="00335AEE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9">
    <w:name w:val="Revision"/>
    <w:hidden/>
    <w:uiPriority w:val="99"/>
    <w:semiHidden/>
    <w:rsid w:val="000C71C0"/>
    <w:pPr>
      <w:spacing w:after="0" w:line="240" w:lineRule="auto"/>
    </w:pPr>
  </w:style>
  <w:style w:type="paragraph" w:styleId="aa">
    <w:name w:val="Plain Text"/>
    <w:basedOn w:val="a"/>
    <w:link w:val="ZwykytekstZnak"/>
    <w:uiPriority w:val="99"/>
    <w:unhideWhenUsed/>
    <w:rsid w:val="002038C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a0"/>
    <w:link w:val="aa"/>
    <w:uiPriority w:val="99"/>
    <w:rsid w:val="002038C8"/>
    <w:rPr>
      <w:rFonts w:ascii="Consolas" w:hAnsi="Consolas" w:cs="Consolas"/>
      <w:sz w:val="21"/>
      <w:szCs w:val="21"/>
    </w:rPr>
  </w:style>
  <w:style w:type="character" w:styleId="ab">
    <w:name w:val="annotation reference"/>
    <w:basedOn w:val="a0"/>
    <w:uiPriority w:val="99"/>
    <w:semiHidden/>
    <w:unhideWhenUsed/>
    <w:rsid w:val="00705B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05B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05B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05B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05BC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6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2617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7257">
                  <w:marLeft w:val="0"/>
                  <w:marRight w:val="0"/>
                  <w:marTop w:val="0"/>
                  <w:marBottom w:val="100"/>
                  <w:divBdr>
                    <w:top w:val="single" w:sz="4" w:space="0" w:color="C0C0C0"/>
                    <w:left w:val="single" w:sz="4" w:space="0" w:color="D9D9D9"/>
                    <w:bottom w:val="single" w:sz="4" w:space="0" w:color="D9D9D9"/>
                    <w:right w:val="single" w:sz="4" w:space="0" w:color="D9D9D9"/>
                  </w:divBdr>
                  <w:divsChild>
                    <w:div w:id="4115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16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0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23571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7204">
                      <w:marLeft w:val="0"/>
                      <w:marRight w:val="0"/>
                      <w:marTop w:val="0"/>
                      <w:marBottom w:val="100"/>
                      <w:divBdr>
                        <w:top w:val="single" w:sz="4" w:space="0" w:color="F5F5F5"/>
                        <w:left w:val="single" w:sz="4" w:space="0" w:color="F5F5F5"/>
                        <w:bottom w:val="single" w:sz="4" w:space="0" w:color="F5F5F5"/>
                        <w:right w:val="single" w:sz="4" w:space="0" w:color="F5F5F5"/>
                      </w:divBdr>
                      <w:divsChild>
                        <w:div w:id="171345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7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5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1373</Words>
  <Characters>8240</Characters>
  <Application>Microsoft Office Word</Application>
  <DocSecurity>0</DocSecurity>
  <Lines>68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CPE</Company>
  <LinksUpToDate>false</LinksUpToDate>
  <CharactersWithSpaces>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katarzyna_bartnik</dc:creator>
  <cp:lastModifiedBy>katarzyna_bartnik</cp:lastModifiedBy>
  <cp:revision>11</cp:revision>
  <cp:lastPrinted>2018-05-23T10:39:00Z</cp:lastPrinted>
  <dcterms:created xsi:type="dcterms:W3CDTF">2018-05-21T13:44:00Z</dcterms:created>
  <dcterms:modified xsi:type="dcterms:W3CDTF">2018-05-24T09:27:00Z</dcterms:modified>
</cp:coreProperties>
</file>