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144"/>
      </w:tblGrid>
      <w:tr w:rsidR="000164E8" w:rsidRPr="00A06C79" w:rsidTr="00D0689E">
        <w:trPr>
          <w:trHeight w:val="408"/>
        </w:trPr>
        <w:tc>
          <w:tcPr>
            <w:tcW w:w="10144" w:type="dxa"/>
            <w:shd w:val="clear" w:color="auto" w:fill="D9D9D9" w:themeFill="background1" w:themeFillShade="D9"/>
          </w:tcPr>
          <w:p w:rsidR="0029089C" w:rsidRPr="00D0689E" w:rsidRDefault="002038C8" w:rsidP="00D0689E">
            <w:pPr>
              <w:jc w:val="both"/>
              <w:rPr>
                <w:b/>
                <w:color w:val="000000" w:themeColor="text1"/>
                <w:lang w:val="en-US"/>
              </w:rPr>
            </w:pPr>
            <w:r w:rsidRPr="001B38D5">
              <w:rPr>
                <w:b/>
                <w:color w:val="000000" w:themeColor="text1"/>
                <w:lang w:val="en-US"/>
              </w:rPr>
              <w:t xml:space="preserve">1. </w:t>
            </w:r>
            <w:r w:rsidR="00D0689E" w:rsidRPr="00D0689E">
              <w:rPr>
                <w:b/>
                <w:color w:val="000000" w:themeColor="text1"/>
                <w:lang w:val="en-US"/>
              </w:rPr>
              <w:t>What is the maximum size of documents to be uploaded to the online generator per project?</w:t>
            </w:r>
          </w:p>
        </w:tc>
      </w:tr>
      <w:tr w:rsidR="000164E8" w:rsidRPr="00A06C79" w:rsidTr="008B3013">
        <w:trPr>
          <w:trHeight w:val="272"/>
        </w:trPr>
        <w:tc>
          <w:tcPr>
            <w:tcW w:w="10144" w:type="dxa"/>
          </w:tcPr>
          <w:p w:rsidR="00D0689E" w:rsidRPr="00D0689E" w:rsidRDefault="00D0689E" w:rsidP="009C1857">
            <w:pPr>
              <w:jc w:val="both"/>
              <w:rPr>
                <w:rFonts w:cs="Arial"/>
                <w:lang w:val="en-US"/>
              </w:rPr>
            </w:pPr>
            <w:r w:rsidRPr="00D0689E">
              <w:rPr>
                <w:color w:val="000000" w:themeColor="text1"/>
                <w:lang w:val="en-US"/>
              </w:rPr>
              <w:t>The maximum size is 100 MB.</w:t>
            </w:r>
          </w:p>
          <w:p w:rsidR="008A6628" w:rsidRPr="00D0689E" w:rsidRDefault="008A6628" w:rsidP="00D0689E">
            <w:pPr>
              <w:tabs>
                <w:tab w:val="left" w:pos="1470"/>
              </w:tabs>
              <w:rPr>
                <w:rFonts w:cs="Arial"/>
                <w:lang w:val="en-US"/>
              </w:rPr>
            </w:pPr>
          </w:p>
        </w:tc>
      </w:tr>
      <w:tr w:rsidR="000164E8" w:rsidRPr="00A06C79" w:rsidTr="00D0689E">
        <w:trPr>
          <w:trHeight w:val="719"/>
        </w:trPr>
        <w:tc>
          <w:tcPr>
            <w:tcW w:w="10144" w:type="dxa"/>
            <w:shd w:val="clear" w:color="auto" w:fill="D9D9D9" w:themeFill="background1" w:themeFillShade="D9"/>
          </w:tcPr>
          <w:p w:rsidR="000164E8" w:rsidRPr="00D0689E" w:rsidRDefault="002038C8" w:rsidP="00A73FA8">
            <w:pPr>
              <w:jc w:val="both"/>
              <w:rPr>
                <w:rFonts w:cs="Arial"/>
                <w:b/>
                <w:lang w:val="en-GB"/>
              </w:rPr>
            </w:pPr>
            <w:r w:rsidRPr="001B38D5">
              <w:rPr>
                <w:b/>
                <w:lang w:val="en-US"/>
              </w:rPr>
              <w:t xml:space="preserve">2.  </w:t>
            </w:r>
            <w:r w:rsidR="00D0689E" w:rsidRPr="00D0689E">
              <w:rPr>
                <w:rFonts w:cs="Arial"/>
                <w:b/>
                <w:lang w:val="en-GB"/>
              </w:rPr>
              <w:t>Is it necessary to translate the annexes to the AF which were originally produced in national languages into English?</w:t>
            </w:r>
          </w:p>
        </w:tc>
      </w:tr>
      <w:tr w:rsidR="000164E8" w:rsidRPr="00A06C79" w:rsidTr="00D0689E">
        <w:trPr>
          <w:trHeight w:val="2530"/>
        </w:trPr>
        <w:tc>
          <w:tcPr>
            <w:tcW w:w="10144" w:type="dxa"/>
          </w:tcPr>
          <w:p w:rsidR="00D0689E" w:rsidRDefault="00D0689E" w:rsidP="00D0689E">
            <w:pPr>
              <w:jc w:val="both"/>
              <w:rPr>
                <w:rFonts w:cs="Arial"/>
                <w:lang w:val="en-GB"/>
              </w:rPr>
            </w:pPr>
            <w:r w:rsidRPr="00D0689E">
              <w:rPr>
                <w:rFonts w:cs="Arial"/>
                <w:lang w:val="en-GB"/>
              </w:rPr>
              <w:t xml:space="preserve">No, it is not necessary to translate the annexes which were originally produced in Polish or Russian and do not require </w:t>
            </w:r>
            <w:r w:rsidR="000C7459">
              <w:rPr>
                <w:rFonts w:cs="Arial"/>
                <w:lang w:val="en-GB"/>
              </w:rPr>
              <w:t xml:space="preserve">applying of </w:t>
            </w:r>
            <w:r w:rsidRPr="00D0689E">
              <w:rPr>
                <w:rFonts w:cs="Arial"/>
                <w:lang w:val="en-GB"/>
              </w:rPr>
              <w:t xml:space="preserve">the Programme templates (e.g. statutes, balance sheets or other fiscal documents, registration documents, full feasibility studies (apart from a summary in English), building permissions, environmental impact assessments, chapters of technical documentation, etc). These documents can be submitted in national languages. However, if the lead beneficiary produces a letter addressed to the JTS (e.g. with an explanation of a certain issue), it should be composed in English </w:t>
            </w:r>
            <w:r w:rsidR="00A73FA8">
              <w:rPr>
                <w:rFonts w:cs="Arial"/>
                <w:lang w:val="en-GB"/>
              </w:rPr>
              <w:t>being</w:t>
            </w:r>
            <w:r w:rsidRPr="00D0689E">
              <w:rPr>
                <w:rFonts w:cs="Arial"/>
                <w:lang w:val="en-GB"/>
              </w:rPr>
              <w:t xml:space="preserve"> an official language of communication in the Programme.</w:t>
            </w:r>
          </w:p>
          <w:p w:rsidR="008B3013" w:rsidRDefault="008B3013" w:rsidP="00D0689E">
            <w:pPr>
              <w:jc w:val="both"/>
              <w:rPr>
                <w:rFonts w:cs="Arial"/>
                <w:lang w:val="en-GB"/>
              </w:rPr>
            </w:pPr>
          </w:p>
          <w:p w:rsidR="00D0689E" w:rsidRPr="00D0689E" w:rsidRDefault="00D0689E" w:rsidP="00214F14">
            <w:pPr>
              <w:jc w:val="both"/>
              <w:rPr>
                <w:rFonts w:cs="Arial"/>
                <w:lang w:val="en-GB"/>
              </w:rPr>
            </w:pPr>
            <w:r w:rsidRPr="00D0689E">
              <w:rPr>
                <w:rFonts w:cs="Arial"/>
                <w:lang w:val="en-GB"/>
              </w:rPr>
              <w:t>Other annexes which  templates</w:t>
            </w:r>
            <w:r w:rsidR="00214F14">
              <w:rPr>
                <w:rFonts w:cs="Arial"/>
                <w:lang w:val="en-GB"/>
              </w:rPr>
              <w:t xml:space="preserve"> are </w:t>
            </w:r>
            <w:r w:rsidR="00214F14" w:rsidRPr="00D0689E">
              <w:rPr>
                <w:rFonts w:cs="Arial"/>
                <w:lang w:val="en-GB"/>
              </w:rPr>
              <w:t xml:space="preserve">available in the online generator </w:t>
            </w:r>
            <w:r w:rsidRPr="00D0689E">
              <w:rPr>
                <w:rFonts w:cs="Arial"/>
                <w:lang w:val="en-GB"/>
              </w:rPr>
              <w:t xml:space="preserve">(e.g. various declarations, partnership statements, etc) must be filled in by the project beneficiaries in English.    </w:t>
            </w:r>
          </w:p>
        </w:tc>
      </w:tr>
      <w:tr w:rsidR="000164E8" w:rsidRPr="00A06C79" w:rsidTr="002038C8">
        <w:trPr>
          <w:trHeight w:val="326"/>
        </w:trPr>
        <w:tc>
          <w:tcPr>
            <w:tcW w:w="10144" w:type="dxa"/>
            <w:shd w:val="clear" w:color="auto" w:fill="D9D9D9" w:themeFill="background1" w:themeFillShade="D9"/>
          </w:tcPr>
          <w:p w:rsidR="00D0689E" w:rsidRPr="00D0689E" w:rsidRDefault="002038C8" w:rsidP="00D0689E">
            <w:pPr>
              <w:pStyle w:val="Zwykytekst"/>
              <w:jc w:val="both"/>
              <w:rPr>
                <w:rFonts w:asciiTheme="minorHAnsi" w:hAnsiTheme="minorHAnsi" w:cs="Arial"/>
                <w:b/>
                <w:sz w:val="22"/>
                <w:szCs w:val="22"/>
                <w:lang w:val="en-GB"/>
              </w:rPr>
            </w:pPr>
            <w:r w:rsidRPr="001B38D5">
              <w:rPr>
                <w:rFonts w:asciiTheme="minorHAnsi" w:hAnsiTheme="minorHAnsi"/>
                <w:b/>
                <w:color w:val="000000" w:themeColor="text1"/>
                <w:sz w:val="22"/>
                <w:szCs w:val="22"/>
                <w:lang w:val="en-US"/>
              </w:rPr>
              <w:t xml:space="preserve">3. </w:t>
            </w:r>
            <w:r w:rsidR="00D0689E" w:rsidRPr="00D0689E">
              <w:rPr>
                <w:rFonts w:asciiTheme="minorHAnsi" w:hAnsiTheme="minorHAnsi" w:cs="Arial"/>
                <w:b/>
                <w:sz w:val="22"/>
                <w:szCs w:val="22"/>
                <w:lang w:val="en-GB"/>
              </w:rPr>
              <w:t>Shall copies of annexes be certified as true to original when they are submitted in the online generator?</w:t>
            </w:r>
          </w:p>
          <w:p w:rsidR="000164E8" w:rsidRPr="001B38D5" w:rsidRDefault="000164E8" w:rsidP="009C1857">
            <w:pPr>
              <w:pStyle w:val="Zwykytekst"/>
              <w:jc w:val="both"/>
              <w:rPr>
                <w:rFonts w:asciiTheme="minorHAnsi" w:hAnsiTheme="minorHAnsi"/>
                <w:b/>
                <w:color w:val="000000" w:themeColor="text1"/>
                <w:sz w:val="22"/>
                <w:szCs w:val="22"/>
                <w:lang w:val="en-US"/>
              </w:rPr>
            </w:pPr>
          </w:p>
        </w:tc>
      </w:tr>
      <w:tr w:rsidR="000164E8" w:rsidRPr="00A06C79" w:rsidTr="00D0689E">
        <w:trPr>
          <w:trHeight w:val="1836"/>
        </w:trPr>
        <w:tc>
          <w:tcPr>
            <w:tcW w:w="10144" w:type="dxa"/>
          </w:tcPr>
          <w:p w:rsidR="00D0689E" w:rsidRPr="00D0689E" w:rsidRDefault="00D0689E" w:rsidP="00D0689E">
            <w:pPr>
              <w:pStyle w:val="Zwykytekst"/>
              <w:jc w:val="both"/>
              <w:rPr>
                <w:rFonts w:asciiTheme="minorHAnsi" w:hAnsiTheme="minorHAnsi" w:cs="Arial"/>
                <w:sz w:val="22"/>
                <w:szCs w:val="22"/>
                <w:lang w:val="en-GB"/>
              </w:rPr>
            </w:pPr>
            <w:r w:rsidRPr="00D0689E">
              <w:rPr>
                <w:rFonts w:asciiTheme="minorHAnsi" w:hAnsiTheme="minorHAnsi" w:cs="Arial"/>
                <w:sz w:val="22"/>
                <w:szCs w:val="22"/>
                <w:lang w:val="en-GB"/>
              </w:rPr>
              <w:t xml:space="preserve">If you </w:t>
            </w:r>
            <w:r w:rsidR="00D014A7">
              <w:rPr>
                <w:rFonts w:asciiTheme="minorHAnsi" w:hAnsiTheme="minorHAnsi" w:cs="Arial"/>
                <w:sz w:val="22"/>
                <w:szCs w:val="22"/>
                <w:lang w:val="en-GB"/>
              </w:rPr>
              <w:t xml:space="preserve">possess </w:t>
            </w:r>
            <w:r w:rsidRPr="00D0689E">
              <w:rPr>
                <w:rFonts w:asciiTheme="minorHAnsi" w:hAnsiTheme="minorHAnsi" w:cs="Arial"/>
                <w:sz w:val="22"/>
                <w:szCs w:val="22"/>
                <w:lang w:val="en-GB"/>
              </w:rPr>
              <w:t xml:space="preserve">original documents (e.g. statutes, balance sheets, etc), you </w:t>
            </w:r>
            <w:r w:rsidR="00D014A7">
              <w:rPr>
                <w:rFonts w:asciiTheme="minorHAnsi" w:hAnsiTheme="minorHAnsi" w:cs="Arial"/>
                <w:sz w:val="22"/>
                <w:szCs w:val="22"/>
                <w:lang w:val="en-GB"/>
              </w:rPr>
              <w:t>shall</w:t>
            </w:r>
            <w:r w:rsidR="00D014A7" w:rsidRPr="00D0689E">
              <w:rPr>
                <w:rFonts w:asciiTheme="minorHAnsi" w:hAnsiTheme="minorHAnsi" w:cs="Arial"/>
                <w:sz w:val="22"/>
                <w:szCs w:val="22"/>
                <w:lang w:val="en-GB"/>
              </w:rPr>
              <w:t xml:space="preserve"> </w:t>
            </w:r>
            <w:r w:rsidRPr="00D0689E">
              <w:rPr>
                <w:rFonts w:asciiTheme="minorHAnsi" w:hAnsiTheme="minorHAnsi" w:cs="Arial"/>
                <w:sz w:val="22"/>
                <w:szCs w:val="22"/>
                <w:lang w:val="en-GB"/>
              </w:rPr>
              <w:t xml:space="preserve">scan them and upload to the online generator. </w:t>
            </w:r>
          </w:p>
          <w:p w:rsidR="008B3013" w:rsidRDefault="008B3013" w:rsidP="00D0689E">
            <w:pPr>
              <w:pStyle w:val="Zwykytekst"/>
              <w:jc w:val="both"/>
              <w:rPr>
                <w:rFonts w:asciiTheme="minorHAnsi" w:hAnsiTheme="minorHAnsi" w:cs="Arial"/>
                <w:sz w:val="22"/>
                <w:szCs w:val="22"/>
                <w:lang w:val="en-GB"/>
              </w:rPr>
            </w:pPr>
          </w:p>
          <w:p w:rsidR="008A6628" w:rsidRPr="00D0689E" w:rsidRDefault="00D0689E" w:rsidP="00D014A7">
            <w:pPr>
              <w:pStyle w:val="Zwykytekst"/>
              <w:jc w:val="both"/>
              <w:rPr>
                <w:rFonts w:cs="Arial"/>
                <w:b/>
                <w:lang w:val="en-GB"/>
              </w:rPr>
            </w:pPr>
            <w:r w:rsidRPr="00D0689E">
              <w:rPr>
                <w:rFonts w:asciiTheme="minorHAnsi" w:hAnsiTheme="minorHAnsi" w:cs="Arial"/>
                <w:sz w:val="22"/>
                <w:szCs w:val="22"/>
                <w:lang w:val="en-GB"/>
              </w:rPr>
              <w:t>If you have</w:t>
            </w:r>
            <w:r w:rsidR="00A73FA8">
              <w:rPr>
                <w:rFonts w:asciiTheme="minorHAnsi" w:hAnsiTheme="minorHAnsi" w:cs="Arial"/>
                <w:sz w:val="22"/>
                <w:szCs w:val="22"/>
                <w:lang w:val="en-GB"/>
              </w:rPr>
              <w:t xml:space="preserve"> only</w:t>
            </w:r>
            <w:r w:rsidRPr="00D0689E">
              <w:rPr>
                <w:rFonts w:asciiTheme="minorHAnsi" w:hAnsiTheme="minorHAnsi" w:cs="Arial"/>
                <w:sz w:val="22"/>
                <w:szCs w:val="22"/>
                <w:lang w:val="en-GB"/>
              </w:rPr>
              <w:t xml:space="preserve"> copies of </w:t>
            </w:r>
            <w:r w:rsidR="00D014A7">
              <w:rPr>
                <w:rFonts w:asciiTheme="minorHAnsi" w:hAnsiTheme="minorHAnsi" w:cs="Arial"/>
                <w:sz w:val="22"/>
                <w:szCs w:val="22"/>
                <w:lang w:val="en-GB"/>
              </w:rPr>
              <w:t xml:space="preserve">the </w:t>
            </w:r>
            <w:r w:rsidRPr="00D0689E">
              <w:rPr>
                <w:rFonts w:asciiTheme="minorHAnsi" w:hAnsiTheme="minorHAnsi" w:cs="Arial"/>
                <w:sz w:val="22"/>
                <w:szCs w:val="22"/>
                <w:lang w:val="en-GB"/>
              </w:rPr>
              <w:t>documents, first you need to make sure that these copies are certified as true to original and only after that you can start scanning and uploading them to the online generator. In case a document contains several pages, you should either certify each page separately or certify the first page  indicating a total number of pages and then number each page manually.</w:t>
            </w:r>
          </w:p>
        </w:tc>
      </w:tr>
      <w:tr w:rsidR="000164E8" w:rsidRPr="00A06C79" w:rsidTr="00A404A7">
        <w:trPr>
          <w:trHeight w:val="272"/>
        </w:trPr>
        <w:tc>
          <w:tcPr>
            <w:tcW w:w="10144" w:type="dxa"/>
            <w:shd w:val="clear" w:color="auto" w:fill="D9D9D9" w:themeFill="background1" w:themeFillShade="D9"/>
          </w:tcPr>
          <w:p w:rsidR="000164E8" w:rsidRPr="001B38D5" w:rsidRDefault="002038C8" w:rsidP="009C1857">
            <w:pPr>
              <w:jc w:val="both"/>
              <w:rPr>
                <w:b/>
                <w:lang w:val="en-US"/>
              </w:rPr>
            </w:pPr>
            <w:r w:rsidRPr="001B38D5">
              <w:rPr>
                <w:b/>
                <w:color w:val="000000" w:themeColor="text1"/>
                <w:lang w:val="en-US"/>
              </w:rPr>
              <w:t xml:space="preserve">4. </w:t>
            </w:r>
            <w:r w:rsidRPr="001B38D5">
              <w:rPr>
                <w:b/>
                <w:lang w:val="en-US"/>
              </w:rPr>
              <w:t xml:space="preserve"> </w:t>
            </w:r>
            <w:r w:rsidR="00D0689E" w:rsidRPr="00D0689E">
              <w:rPr>
                <w:b/>
                <w:color w:val="000000" w:themeColor="text1"/>
                <w:lang w:val="en-GB"/>
              </w:rPr>
              <w:t>What kind of audit costs have to be planned in a project budget?</w:t>
            </w:r>
          </w:p>
        </w:tc>
      </w:tr>
      <w:tr w:rsidR="000164E8" w:rsidRPr="00A06C79" w:rsidTr="00D0689E">
        <w:trPr>
          <w:trHeight w:val="1210"/>
        </w:trPr>
        <w:tc>
          <w:tcPr>
            <w:tcW w:w="10144" w:type="dxa"/>
          </w:tcPr>
          <w:p w:rsidR="008A6628" w:rsidRPr="00D0689E" w:rsidRDefault="00D0689E" w:rsidP="00DE2E1E">
            <w:pPr>
              <w:jc w:val="both"/>
              <w:rPr>
                <w:color w:val="000000" w:themeColor="text1"/>
                <w:lang w:val="en-GB"/>
              </w:rPr>
            </w:pPr>
            <w:r w:rsidRPr="00D0689E">
              <w:rPr>
                <w:color w:val="000000" w:themeColor="text1"/>
                <w:lang w:val="en-GB"/>
              </w:rPr>
              <w:t xml:space="preserve">In case </w:t>
            </w:r>
            <w:r w:rsidR="00D014A7">
              <w:rPr>
                <w:color w:val="000000" w:themeColor="text1"/>
                <w:lang w:val="en-GB"/>
              </w:rPr>
              <w:t xml:space="preserve">the </w:t>
            </w:r>
            <w:r w:rsidRPr="00D0689E">
              <w:rPr>
                <w:color w:val="000000" w:themeColor="text1"/>
                <w:lang w:val="en-GB"/>
              </w:rPr>
              <w:t xml:space="preserve">payment option 1 (35% + 50% + 15%) </w:t>
            </w:r>
            <w:r w:rsidR="00D014A7">
              <w:rPr>
                <w:color w:val="000000" w:themeColor="text1"/>
                <w:lang w:val="en-GB"/>
              </w:rPr>
              <w:t>has been</w:t>
            </w:r>
            <w:r w:rsidRPr="00D0689E">
              <w:rPr>
                <w:color w:val="000000" w:themeColor="text1"/>
                <w:lang w:val="en-GB"/>
              </w:rPr>
              <w:t xml:space="preserve"> chosen, each beneficiary should plan </w:t>
            </w:r>
            <w:r w:rsidR="00D014A7">
              <w:rPr>
                <w:color w:val="000000" w:themeColor="text1"/>
                <w:lang w:val="en-GB"/>
              </w:rPr>
              <w:t xml:space="preserve">that </w:t>
            </w:r>
            <w:r w:rsidRPr="00D0689E">
              <w:rPr>
                <w:color w:val="000000" w:themeColor="text1"/>
                <w:lang w:val="en-GB"/>
              </w:rPr>
              <w:t xml:space="preserve"> an audit of individual interim report and an audit of  individual final report</w:t>
            </w:r>
            <w:r w:rsidR="008A6B08">
              <w:rPr>
                <w:color w:val="000000" w:themeColor="text1"/>
                <w:lang w:val="en-GB"/>
              </w:rPr>
              <w:t xml:space="preserve"> will have to be carried out</w:t>
            </w:r>
            <w:r w:rsidRPr="00D0689E">
              <w:rPr>
                <w:color w:val="000000" w:themeColor="text1"/>
                <w:lang w:val="en-GB"/>
              </w:rPr>
              <w:t xml:space="preserve">. In case </w:t>
            </w:r>
            <w:r w:rsidR="00DE2E1E">
              <w:rPr>
                <w:color w:val="000000" w:themeColor="text1"/>
                <w:lang w:val="en-GB"/>
              </w:rPr>
              <w:t xml:space="preserve">the </w:t>
            </w:r>
            <w:r w:rsidRPr="00D0689E">
              <w:rPr>
                <w:color w:val="000000" w:themeColor="text1"/>
                <w:lang w:val="en-GB"/>
              </w:rPr>
              <w:t xml:space="preserve">payment option 2 (100%) </w:t>
            </w:r>
            <w:r w:rsidR="00DE2E1E">
              <w:rPr>
                <w:color w:val="000000" w:themeColor="text1"/>
                <w:lang w:val="en-GB"/>
              </w:rPr>
              <w:t>ha</w:t>
            </w:r>
            <w:r w:rsidRPr="00D0689E">
              <w:rPr>
                <w:color w:val="000000" w:themeColor="text1"/>
                <w:lang w:val="en-GB"/>
              </w:rPr>
              <w:t xml:space="preserve">s </w:t>
            </w:r>
            <w:r w:rsidR="00DE2E1E">
              <w:rPr>
                <w:color w:val="000000" w:themeColor="text1"/>
                <w:lang w:val="en-GB"/>
              </w:rPr>
              <w:t xml:space="preserve">been </w:t>
            </w:r>
            <w:r w:rsidRPr="00D0689E">
              <w:rPr>
                <w:color w:val="000000" w:themeColor="text1"/>
                <w:lang w:val="en-GB"/>
              </w:rPr>
              <w:t xml:space="preserve">chosen, each beneficiary should plan to conduct an audit of  individual final report. </w:t>
            </w:r>
            <w:r w:rsidR="00DE2E1E">
              <w:rPr>
                <w:color w:val="000000" w:themeColor="text1"/>
                <w:lang w:val="en-GB"/>
              </w:rPr>
              <w:t>Since</w:t>
            </w:r>
            <w:r w:rsidRPr="00D0689E">
              <w:rPr>
                <w:color w:val="000000" w:themeColor="text1"/>
                <w:lang w:val="en-GB"/>
              </w:rPr>
              <w:t xml:space="preserve"> individual reports must undergo expenditure verification by </w:t>
            </w:r>
            <w:r w:rsidR="00B94483">
              <w:rPr>
                <w:color w:val="000000" w:themeColor="text1"/>
                <w:lang w:val="en-GB"/>
              </w:rPr>
              <w:t xml:space="preserve">independent </w:t>
            </w:r>
            <w:r w:rsidRPr="00D0689E">
              <w:rPr>
                <w:color w:val="000000" w:themeColor="text1"/>
                <w:lang w:val="en-GB"/>
              </w:rPr>
              <w:t xml:space="preserve">auditors;  the costs </w:t>
            </w:r>
            <w:r w:rsidR="00DE2E1E">
              <w:rPr>
                <w:color w:val="000000" w:themeColor="text1"/>
                <w:lang w:val="en-GB"/>
              </w:rPr>
              <w:t xml:space="preserve">of the audits </w:t>
            </w:r>
            <w:r w:rsidRPr="00D0689E">
              <w:rPr>
                <w:color w:val="000000" w:themeColor="text1"/>
                <w:lang w:val="en-GB"/>
              </w:rPr>
              <w:t>need to be planned in a project budget.</w:t>
            </w:r>
          </w:p>
        </w:tc>
      </w:tr>
      <w:tr w:rsidR="00A404A7" w:rsidRPr="00A06C79" w:rsidTr="008A6628">
        <w:trPr>
          <w:trHeight w:val="386"/>
        </w:trPr>
        <w:tc>
          <w:tcPr>
            <w:tcW w:w="10144" w:type="dxa"/>
            <w:shd w:val="clear" w:color="auto" w:fill="D9D9D9" w:themeFill="background1" w:themeFillShade="D9"/>
          </w:tcPr>
          <w:p w:rsidR="00A404A7" w:rsidRPr="001B38D5" w:rsidRDefault="002038C8" w:rsidP="009C1857">
            <w:pPr>
              <w:pStyle w:val="Zwykytekst"/>
              <w:jc w:val="both"/>
              <w:rPr>
                <w:rFonts w:asciiTheme="minorHAnsi" w:hAnsiTheme="minorHAnsi"/>
                <w:b/>
                <w:color w:val="000000" w:themeColor="text1"/>
                <w:sz w:val="22"/>
                <w:szCs w:val="22"/>
                <w:lang w:val="en-US"/>
              </w:rPr>
            </w:pPr>
            <w:r w:rsidRPr="001B38D5">
              <w:rPr>
                <w:rFonts w:asciiTheme="minorHAnsi" w:hAnsiTheme="minorHAnsi"/>
                <w:b/>
                <w:color w:val="000000" w:themeColor="text1"/>
                <w:sz w:val="22"/>
                <w:szCs w:val="22"/>
                <w:lang w:val="en-US"/>
              </w:rPr>
              <w:t xml:space="preserve">5. </w:t>
            </w:r>
            <w:r w:rsidR="00D0689E" w:rsidRPr="00D0689E">
              <w:rPr>
                <w:rFonts w:asciiTheme="minorHAnsi" w:eastAsia="Calibri" w:hAnsiTheme="minorHAnsi" w:cs="Arial"/>
                <w:b/>
                <w:sz w:val="22"/>
                <w:szCs w:val="22"/>
                <w:lang w:val="en-US"/>
              </w:rPr>
              <w:t>Can a project cover costs of inviting an expert from outside the Programme area?</w:t>
            </w:r>
          </w:p>
        </w:tc>
      </w:tr>
      <w:tr w:rsidR="00A404A7" w:rsidRPr="009C1857" w:rsidTr="00D0689E">
        <w:trPr>
          <w:trHeight w:val="1522"/>
        </w:trPr>
        <w:tc>
          <w:tcPr>
            <w:tcW w:w="10144" w:type="dxa"/>
          </w:tcPr>
          <w:p w:rsidR="008A6628" w:rsidRPr="001B38D5" w:rsidRDefault="00D0689E" w:rsidP="000D0721">
            <w:pPr>
              <w:pStyle w:val="Zwykytekst"/>
              <w:jc w:val="both"/>
              <w:rPr>
                <w:rFonts w:eastAsia="Calibri" w:cs="Arial"/>
                <w:lang w:val="en-US"/>
              </w:rPr>
            </w:pPr>
            <w:r w:rsidRPr="00D0689E">
              <w:rPr>
                <w:rFonts w:asciiTheme="minorHAnsi" w:eastAsia="Calibri" w:hAnsiTheme="minorHAnsi" w:cs="Arial"/>
                <w:sz w:val="22"/>
                <w:szCs w:val="22"/>
                <w:lang w:val="en-US"/>
              </w:rPr>
              <w:t xml:space="preserve">A project can invite an expert (e.g. to deliver a presentation at a conference or conduct a </w:t>
            </w:r>
            <w:proofErr w:type="spellStart"/>
            <w:r w:rsidRPr="00D0689E">
              <w:rPr>
                <w:rFonts w:asciiTheme="minorHAnsi" w:eastAsia="Calibri" w:hAnsiTheme="minorHAnsi" w:cs="Arial"/>
                <w:sz w:val="22"/>
                <w:szCs w:val="22"/>
                <w:lang w:val="en-US"/>
              </w:rPr>
              <w:t>masterclass</w:t>
            </w:r>
            <w:proofErr w:type="spellEnd"/>
            <w:r w:rsidRPr="00D0689E">
              <w:rPr>
                <w:rFonts w:asciiTheme="minorHAnsi" w:eastAsia="Calibri" w:hAnsiTheme="minorHAnsi" w:cs="Arial"/>
                <w:sz w:val="22"/>
                <w:szCs w:val="22"/>
                <w:lang w:val="en-US"/>
              </w:rPr>
              <w:t>) who</w:t>
            </w:r>
            <w:r w:rsidR="000D0721">
              <w:rPr>
                <w:rFonts w:asciiTheme="minorHAnsi" w:eastAsia="Calibri" w:hAnsiTheme="minorHAnsi" w:cs="Arial"/>
                <w:sz w:val="22"/>
                <w:szCs w:val="22"/>
                <w:lang w:val="en-US"/>
              </w:rPr>
              <w:t>se seat</w:t>
            </w:r>
            <w:r w:rsidRPr="00D0689E">
              <w:rPr>
                <w:rFonts w:asciiTheme="minorHAnsi" w:eastAsia="Calibri" w:hAnsiTheme="minorHAnsi" w:cs="Arial"/>
                <w:sz w:val="22"/>
                <w:szCs w:val="22"/>
                <w:lang w:val="en-US"/>
              </w:rPr>
              <w:t xml:space="preserve"> is </w:t>
            </w:r>
            <w:r w:rsidR="000D0721">
              <w:rPr>
                <w:rFonts w:asciiTheme="minorHAnsi" w:eastAsia="Calibri" w:hAnsiTheme="minorHAnsi" w:cs="Arial"/>
                <w:sz w:val="22"/>
                <w:szCs w:val="22"/>
                <w:lang w:val="en-US"/>
              </w:rPr>
              <w:t xml:space="preserve">located </w:t>
            </w:r>
            <w:r w:rsidRPr="00D0689E">
              <w:rPr>
                <w:rFonts w:asciiTheme="minorHAnsi" w:eastAsia="Calibri" w:hAnsiTheme="minorHAnsi" w:cs="Arial"/>
                <w:sz w:val="22"/>
                <w:szCs w:val="22"/>
                <w:lang w:val="en-US"/>
              </w:rPr>
              <w:t>outside the Programme area. Relat</w:t>
            </w:r>
            <w:r w:rsidR="000D0721">
              <w:rPr>
                <w:rFonts w:asciiTheme="minorHAnsi" w:eastAsia="Calibri" w:hAnsiTheme="minorHAnsi" w:cs="Arial"/>
                <w:sz w:val="22"/>
                <w:szCs w:val="22"/>
                <w:lang w:val="en-US"/>
              </w:rPr>
              <w:t>ed</w:t>
            </w:r>
            <w:r w:rsidRPr="00D0689E">
              <w:rPr>
                <w:rFonts w:asciiTheme="minorHAnsi" w:eastAsia="Calibri" w:hAnsiTheme="minorHAnsi" w:cs="Arial"/>
                <w:sz w:val="22"/>
                <w:szCs w:val="22"/>
                <w:lang w:val="en-US"/>
              </w:rPr>
              <w:t xml:space="preserve"> costs (travel, accommodation, fees, etc) shall not be included in budget heading 2 but within a service contract concluded with an expert or within the cost of a conference/training and indicated under Budget heading 4. Services. </w:t>
            </w:r>
            <w:r w:rsidR="000D0721">
              <w:rPr>
                <w:rFonts w:asciiTheme="minorHAnsi" w:eastAsia="Calibri" w:hAnsiTheme="minorHAnsi" w:cs="Arial"/>
                <w:sz w:val="22"/>
                <w:szCs w:val="22"/>
                <w:lang w:val="en-US"/>
              </w:rPr>
              <w:t xml:space="preserve">Respective </w:t>
            </w:r>
            <w:r w:rsidRPr="00D0689E">
              <w:rPr>
                <w:rFonts w:asciiTheme="minorHAnsi" w:eastAsia="Calibri" w:hAnsiTheme="minorHAnsi" w:cs="Arial"/>
                <w:sz w:val="22"/>
                <w:szCs w:val="22"/>
                <w:lang w:val="en-US"/>
              </w:rPr>
              <w:t>procurement rules must be fulfilled</w:t>
            </w:r>
            <w:r w:rsidR="000D0721">
              <w:rPr>
                <w:rFonts w:asciiTheme="minorHAnsi" w:eastAsia="Calibri" w:hAnsiTheme="minorHAnsi" w:cs="Arial"/>
                <w:sz w:val="22"/>
                <w:szCs w:val="22"/>
                <w:lang w:val="en-US"/>
              </w:rPr>
              <w:t>, if applicable</w:t>
            </w:r>
            <w:r w:rsidRPr="00D0689E">
              <w:rPr>
                <w:rFonts w:asciiTheme="minorHAnsi" w:eastAsia="Calibri" w:hAnsiTheme="minorHAnsi" w:cs="Arial"/>
                <w:sz w:val="22"/>
                <w:szCs w:val="22"/>
                <w:lang w:val="en-US"/>
              </w:rPr>
              <w:t>.</w:t>
            </w:r>
          </w:p>
        </w:tc>
      </w:tr>
      <w:tr w:rsidR="00A404A7" w:rsidRPr="00A06C79" w:rsidTr="00A404A7">
        <w:trPr>
          <w:trHeight w:val="272"/>
        </w:trPr>
        <w:tc>
          <w:tcPr>
            <w:tcW w:w="10144" w:type="dxa"/>
            <w:shd w:val="clear" w:color="auto" w:fill="D9D9D9" w:themeFill="background1" w:themeFillShade="D9"/>
          </w:tcPr>
          <w:p w:rsidR="00A404A7" w:rsidRPr="001B38D5" w:rsidRDefault="002038C8" w:rsidP="009C1857">
            <w:pPr>
              <w:pStyle w:val="Zwykytekst"/>
              <w:jc w:val="both"/>
              <w:rPr>
                <w:rFonts w:asciiTheme="minorHAnsi" w:hAnsiTheme="minorHAnsi"/>
                <w:b/>
                <w:color w:val="000000" w:themeColor="text1"/>
                <w:sz w:val="22"/>
                <w:szCs w:val="22"/>
                <w:lang w:val="en-US"/>
              </w:rPr>
            </w:pPr>
            <w:r w:rsidRPr="001B38D5">
              <w:rPr>
                <w:rFonts w:asciiTheme="minorHAnsi" w:hAnsiTheme="minorHAnsi"/>
                <w:b/>
                <w:color w:val="000000" w:themeColor="text1"/>
                <w:sz w:val="22"/>
                <w:szCs w:val="22"/>
                <w:lang w:val="en-US"/>
              </w:rPr>
              <w:t xml:space="preserve">6. </w:t>
            </w:r>
            <w:r w:rsidR="00D0689E" w:rsidRPr="00D0689E">
              <w:rPr>
                <w:rFonts w:asciiTheme="minorHAnsi" w:hAnsiTheme="minorHAnsi" w:cs="Arial"/>
                <w:b/>
                <w:sz w:val="22"/>
                <w:szCs w:val="22"/>
                <w:lang w:val="en-GB"/>
              </w:rPr>
              <w:t>Can an organisation established outside the Programme area participate in a project as a beneficiary?</w:t>
            </w:r>
          </w:p>
        </w:tc>
      </w:tr>
      <w:tr w:rsidR="00A404A7" w:rsidRPr="00A06C79" w:rsidTr="00D0689E">
        <w:trPr>
          <w:trHeight w:val="2257"/>
        </w:trPr>
        <w:tc>
          <w:tcPr>
            <w:tcW w:w="10144" w:type="dxa"/>
          </w:tcPr>
          <w:p w:rsidR="00286B46" w:rsidRDefault="00D0689E" w:rsidP="00286B46">
            <w:pPr>
              <w:pStyle w:val="Zwykytekst"/>
              <w:jc w:val="both"/>
              <w:rPr>
                <w:rFonts w:asciiTheme="minorHAnsi" w:hAnsiTheme="minorHAnsi" w:cs="Arial"/>
                <w:sz w:val="22"/>
                <w:szCs w:val="22"/>
                <w:lang w:val="en-GB"/>
              </w:rPr>
            </w:pPr>
            <w:r w:rsidRPr="00D0689E">
              <w:rPr>
                <w:rFonts w:asciiTheme="minorHAnsi" w:hAnsiTheme="minorHAnsi" w:cs="Arial"/>
                <w:sz w:val="22"/>
                <w:szCs w:val="22"/>
                <w:lang w:val="en-GB"/>
              </w:rPr>
              <w:lastRenderedPageBreak/>
              <w:t xml:space="preserve">Organisations </w:t>
            </w:r>
            <w:r w:rsidR="00286B46">
              <w:rPr>
                <w:rFonts w:asciiTheme="minorHAnsi" w:hAnsiTheme="minorHAnsi" w:cs="Arial"/>
                <w:sz w:val="22"/>
                <w:szCs w:val="22"/>
                <w:lang w:val="en-GB"/>
              </w:rPr>
              <w:t>established</w:t>
            </w:r>
            <w:r w:rsidRPr="00D0689E">
              <w:rPr>
                <w:rFonts w:asciiTheme="minorHAnsi" w:hAnsiTheme="minorHAnsi" w:cs="Arial"/>
                <w:sz w:val="22"/>
                <w:szCs w:val="22"/>
                <w:lang w:val="en-GB"/>
              </w:rPr>
              <w:t xml:space="preserve"> outside the Programme area can participate only in particularly justified cases. As indicated in the Programme Manual Part I – Applicant (p. 2.2 Eligibility of lead beneficiaries and beneficiaries), </w:t>
            </w:r>
            <w:r w:rsidR="00286B46">
              <w:rPr>
                <w:rFonts w:asciiTheme="minorHAnsi" w:hAnsiTheme="minorHAnsi" w:cs="Arial"/>
                <w:sz w:val="22"/>
                <w:szCs w:val="22"/>
                <w:lang w:val="en-GB"/>
              </w:rPr>
              <w:t xml:space="preserve">the </w:t>
            </w:r>
            <w:r w:rsidRPr="00D0689E">
              <w:rPr>
                <w:rFonts w:asciiTheme="minorHAnsi" w:hAnsiTheme="minorHAnsi" w:cs="Arial"/>
                <w:sz w:val="22"/>
                <w:szCs w:val="22"/>
                <w:lang w:val="en-GB"/>
              </w:rPr>
              <w:t>beneficiar</w:t>
            </w:r>
            <w:r w:rsidR="00286B46">
              <w:rPr>
                <w:rFonts w:asciiTheme="minorHAnsi" w:hAnsiTheme="minorHAnsi" w:cs="Arial"/>
                <w:sz w:val="22"/>
                <w:szCs w:val="22"/>
                <w:lang w:val="en-GB"/>
              </w:rPr>
              <w:t>ies</w:t>
            </w:r>
            <w:r w:rsidRPr="00D0689E">
              <w:rPr>
                <w:rFonts w:asciiTheme="minorHAnsi" w:hAnsiTheme="minorHAnsi" w:cs="Arial"/>
                <w:sz w:val="22"/>
                <w:szCs w:val="22"/>
                <w:lang w:val="en-GB"/>
              </w:rPr>
              <w:t xml:space="preserve"> that do not meet the establishment </w:t>
            </w:r>
            <w:r w:rsidR="000D0721">
              <w:rPr>
                <w:rFonts w:asciiTheme="minorHAnsi" w:hAnsiTheme="minorHAnsi" w:cs="Arial"/>
                <w:sz w:val="22"/>
                <w:szCs w:val="22"/>
                <w:lang w:val="en-GB"/>
              </w:rPr>
              <w:t>requirements</w:t>
            </w:r>
            <w:r w:rsidRPr="00D0689E">
              <w:rPr>
                <w:rFonts w:asciiTheme="minorHAnsi" w:hAnsiTheme="minorHAnsi" w:cs="Arial"/>
                <w:sz w:val="22"/>
                <w:szCs w:val="22"/>
                <w:lang w:val="en-GB"/>
              </w:rPr>
              <w:t xml:space="preserve">,  have to  </w:t>
            </w:r>
            <w:r w:rsidR="00286B46">
              <w:rPr>
                <w:rFonts w:asciiTheme="minorHAnsi" w:hAnsiTheme="minorHAnsi" w:cs="Arial"/>
                <w:sz w:val="22"/>
                <w:szCs w:val="22"/>
                <w:lang w:val="en-GB"/>
              </w:rPr>
              <w:t xml:space="preserve"> jointly </w:t>
            </w:r>
            <w:r w:rsidR="003D4A3E">
              <w:rPr>
                <w:rFonts w:asciiTheme="minorHAnsi" w:hAnsiTheme="minorHAnsi" w:cs="Arial"/>
                <w:sz w:val="22"/>
                <w:szCs w:val="22"/>
                <w:lang w:val="en-GB"/>
              </w:rPr>
              <w:t>fulfil</w:t>
            </w:r>
            <w:r w:rsidR="00286B46">
              <w:rPr>
                <w:rFonts w:asciiTheme="minorHAnsi" w:hAnsiTheme="minorHAnsi" w:cs="Arial"/>
                <w:sz w:val="22"/>
                <w:szCs w:val="22"/>
                <w:lang w:val="en-GB"/>
              </w:rPr>
              <w:t xml:space="preserve"> the following conditions</w:t>
            </w:r>
            <w:r w:rsidRPr="00D0689E">
              <w:rPr>
                <w:rFonts w:asciiTheme="minorHAnsi" w:hAnsiTheme="minorHAnsi" w:cs="Arial"/>
                <w:sz w:val="22"/>
                <w:szCs w:val="22"/>
                <w:lang w:val="en-GB"/>
              </w:rPr>
              <w:t xml:space="preserve">: </w:t>
            </w:r>
          </w:p>
          <w:p w:rsidR="002D0CF9" w:rsidRDefault="00286B46">
            <w:pPr>
              <w:pStyle w:val="Zwykytekst"/>
              <w:numPr>
                <w:ilvl w:val="0"/>
                <w:numId w:val="14"/>
              </w:numPr>
              <w:jc w:val="both"/>
              <w:rPr>
                <w:rFonts w:cs="Arial"/>
                <w:lang w:val="en-GB"/>
              </w:rPr>
            </w:pPr>
            <w:r>
              <w:rPr>
                <w:rFonts w:asciiTheme="minorHAnsi" w:hAnsiTheme="minorHAnsi" w:cs="Arial"/>
                <w:sz w:val="22"/>
                <w:szCs w:val="22"/>
                <w:lang w:val="en-GB"/>
              </w:rPr>
              <w:t xml:space="preserve">they are </w:t>
            </w:r>
            <w:r w:rsidR="00D0689E" w:rsidRPr="00D0689E">
              <w:rPr>
                <w:rFonts w:asciiTheme="minorHAnsi" w:hAnsiTheme="minorHAnsi" w:cs="Arial"/>
                <w:sz w:val="22"/>
                <w:szCs w:val="22"/>
                <w:lang w:val="en-GB"/>
              </w:rPr>
              <w:t xml:space="preserve">establish in Poland or Russia, </w:t>
            </w:r>
          </w:p>
          <w:p w:rsidR="002D0CF9" w:rsidRDefault="00286B46">
            <w:pPr>
              <w:pStyle w:val="Zwykytekst"/>
              <w:numPr>
                <w:ilvl w:val="0"/>
                <w:numId w:val="14"/>
              </w:numPr>
              <w:jc w:val="both"/>
              <w:rPr>
                <w:rFonts w:cs="Arial"/>
                <w:lang w:val="en-GB"/>
              </w:rPr>
            </w:pPr>
            <w:r>
              <w:rPr>
                <w:rFonts w:asciiTheme="minorHAnsi" w:hAnsiTheme="minorHAnsi" w:cs="Arial"/>
                <w:sz w:val="22"/>
                <w:szCs w:val="22"/>
                <w:lang w:val="en-GB"/>
              </w:rPr>
              <w:t xml:space="preserve">their participation is </w:t>
            </w:r>
            <w:r w:rsidR="00D0689E" w:rsidRPr="00D0689E">
              <w:rPr>
                <w:rFonts w:asciiTheme="minorHAnsi" w:hAnsiTheme="minorHAnsi" w:cs="Arial"/>
                <w:sz w:val="22"/>
                <w:szCs w:val="22"/>
                <w:lang w:val="en-GB"/>
              </w:rPr>
              <w:t>necess</w:t>
            </w:r>
            <w:r>
              <w:rPr>
                <w:rFonts w:asciiTheme="minorHAnsi" w:hAnsiTheme="minorHAnsi" w:cs="Arial"/>
                <w:sz w:val="22"/>
                <w:szCs w:val="22"/>
                <w:lang w:val="en-GB"/>
              </w:rPr>
              <w:t>ary</w:t>
            </w:r>
            <w:r w:rsidR="00D0689E" w:rsidRPr="00D0689E">
              <w:rPr>
                <w:rFonts w:asciiTheme="minorHAnsi" w:hAnsiTheme="minorHAnsi" w:cs="Arial"/>
                <w:sz w:val="22"/>
                <w:szCs w:val="22"/>
                <w:lang w:val="en-GB"/>
              </w:rPr>
              <w:t xml:space="preserve"> for the effective project implementation (</w:t>
            </w:r>
            <w:r w:rsidR="00145B4B">
              <w:rPr>
                <w:rFonts w:asciiTheme="minorHAnsi" w:hAnsiTheme="minorHAnsi" w:cs="Arial"/>
                <w:sz w:val="22"/>
                <w:szCs w:val="22"/>
                <w:lang w:val="en-GB"/>
              </w:rPr>
              <w:t>i.e. it is</w:t>
            </w:r>
            <w:r w:rsidR="00D0689E" w:rsidRPr="00D0689E">
              <w:rPr>
                <w:rFonts w:asciiTheme="minorHAnsi" w:hAnsiTheme="minorHAnsi" w:cs="Arial"/>
                <w:sz w:val="22"/>
                <w:szCs w:val="22"/>
                <w:lang w:val="en-GB"/>
              </w:rPr>
              <w:t xml:space="preserve"> required by the nature and by the objectives of the project), </w:t>
            </w:r>
          </w:p>
          <w:p w:rsidR="002D0CF9" w:rsidRDefault="00145B4B">
            <w:pPr>
              <w:pStyle w:val="Zwykytekst"/>
              <w:numPr>
                <w:ilvl w:val="0"/>
                <w:numId w:val="14"/>
              </w:numPr>
              <w:jc w:val="both"/>
              <w:rPr>
                <w:rFonts w:cs="Arial"/>
                <w:lang w:val="en-GB"/>
              </w:rPr>
            </w:pPr>
            <w:r>
              <w:rPr>
                <w:rFonts w:asciiTheme="minorHAnsi" w:hAnsiTheme="minorHAnsi" w:cs="Arial"/>
                <w:sz w:val="22"/>
                <w:szCs w:val="22"/>
                <w:lang w:val="en-GB"/>
              </w:rPr>
              <w:t xml:space="preserve">the </w:t>
            </w:r>
            <w:r w:rsidR="00D0689E" w:rsidRPr="00D0689E">
              <w:rPr>
                <w:rFonts w:asciiTheme="minorHAnsi" w:hAnsiTheme="minorHAnsi" w:cs="Arial"/>
                <w:sz w:val="22"/>
                <w:szCs w:val="22"/>
                <w:lang w:val="en-GB"/>
              </w:rPr>
              <w:t xml:space="preserve">allocation of funds in the project for </w:t>
            </w:r>
            <w:r>
              <w:rPr>
                <w:rFonts w:asciiTheme="minorHAnsi" w:hAnsiTheme="minorHAnsi" w:cs="Arial"/>
                <w:sz w:val="22"/>
                <w:szCs w:val="22"/>
                <w:lang w:val="en-GB"/>
              </w:rPr>
              <w:t>such</w:t>
            </w:r>
            <w:r w:rsidR="00D0689E" w:rsidRPr="00D0689E">
              <w:rPr>
                <w:rFonts w:asciiTheme="minorHAnsi" w:hAnsiTheme="minorHAnsi" w:cs="Arial"/>
                <w:sz w:val="22"/>
                <w:szCs w:val="22"/>
                <w:lang w:val="en-GB"/>
              </w:rPr>
              <w:t xml:space="preserve"> beneficiar</w:t>
            </w:r>
            <w:r>
              <w:rPr>
                <w:rFonts w:asciiTheme="minorHAnsi" w:hAnsiTheme="minorHAnsi" w:cs="Arial"/>
                <w:sz w:val="22"/>
                <w:szCs w:val="22"/>
                <w:lang w:val="en-GB"/>
              </w:rPr>
              <w:t>ies</w:t>
            </w:r>
            <w:r w:rsidR="00D0689E" w:rsidRPr="00D0689E">
              <w:rPr>
                <w:rFonts w:asciiTheme="minorHAnsi" w:hAnsiTheme="minorHAnsi" w:cs="Arial"/>
                <w:sz w:val="22"/>
                <w:szCs w:val="22"/>
                <w:lang w:val="en-GB"/>
              </w:rPr>
              <w:t xml:space="preserve"> is up to 20 % of the total eligible costs </w:t>
            </w:r>
            <w:r>
              <w:rPr>
                <w:rFonts w:asciiTheme="minorHAnsi" w:hAnsiTheme="minorHAnsi" w:cs="Arial"/>
                <w:sz w:val="22"/>
                <w:szCs w:val="22"/>
                <w:lang w:val="en-GB"/>
              </w:rPr>
              <w:t>of</w:t>
            </w:r>
            <w:r w:rsidR="00D0689E" w:rsidRPr="00D0689E">
              <w:rPr>
                <w:rFonts w:asciiTheme="minorHAnsi" w:hAnsiTheme="minorHAnsi" w:cs="Arial"/>
                <w:sz w:val="22"/>
                <w:szCs w:val="22"/>
                <w:lang w:val="en-GB"/>
              </w:rPr>
              <w:t xml:space="preserve"> the project. </w:t>
            </w:r>
          </w:p>
          <w:p w:rsidR="008A6628" w:rsidRPr="00D0689E" w:rsidRDefault="00D0689E" w:rsidP="00145B4B">
            <w:pPr>
              <w:pStyle w:val="Zwykytekst"/>
              <w:jc w:val="both"/>
              <w:rPr>
                <w:rFonts w:cs="Arial"/>
                <w:lang w:val="en-GB"/>
              </w:rPr>
            </w:pPr>
            <w:r w:rsidRPr="00D0689E">
              <w:rPr>
                <w:rFonts w:asciiTheme="minorHAnsi" w:hAnsiTheme="minorHAnsi" w:cs="Arial"/>
                <w:sz w:val="22"/>
                <w:szCs w:val="22"/>
                <w:lang w:val="en-GB"/>
              </w:rPr>
              <w:t xml:space="preserve">Therefore, the assumptions of the Programme significantly limit the possibility of participation of organisations </w:t>
            </w:r>
            <w:r w:rsidR="00286B46">
              <w:rPr>
                <w:rFonts w:asciiTheme="minorHAnsi" w:hAnsiTheme="minorHAnsi" w:cs="Arial"/>
                <w:sz w:val="22"/>
                <w:szCs w:val="22"/>
                <w:lang w:val="en-GB"/>
              </w:rPr>
              <w:t>established</w:t>
            </w:r>
            <w:r w:rsidRPr="00D0689E">
              <w:rPr>
                <w:rFonts w:asciiTheme="minorHAnsi" w:hAnsiTheme="minorHAnsi" w:cs="Arial"/>
                <w:sz w:val="22"/>
                <w:szCs w:val="22"/>
                <w:lang w:val="en-GB"/>
              </w:rPr>
              <w:t xml:space="preserve"> outside the Programme area, and their participation is subject to restrictive conditions.</w:t>
            </w:r>
          </w:p>
        </w:tc>
      </w:tr>
      <w:tr w:rsidR="00A404A7" w:rsidRPr="00A06C79" w:rsidTr="00A404A7">
        <w:trPr>
          <w:trHeight w:val="272"/>
        </w:trPr>
        <w:tc>
          <w:tcPr>
            <w:tcW w:w="10144" w:type="dxa"/>
            <w:shd w:val="clear" w:color="auto" w:fill="D9D9D9" w:themeFill="background1" w:themeFillShade="D9"/>
          </w:tcPr>
          <w:p w:rsidR="00F57789" w:rsidRPr="00F57789" w:rsidRDefault="002038C8" w:rsidP="00F57789">
            <w:pPr>
              <w:jc w:val="both"/>
              <w:rPr>
                <w:rFonts w:cs="Arial"/>
                <w:lang w:val="en-US"/>
              </w:rPr>
            </w:pPr>
            <w:r w:rsidRPr="001B38D5">
              <w:rPr>
                <w:b/>
                <w:lang w:val="en-US"/>
              </w:rPr>
              <w:t xml:space="preserve">7. </w:t>
            </w:r>
            <w:r w:rsidR="00F57789" w:rsidRPr="00F57789">
              <w:rPr>
                <w:rFonts w:cs="Arial"/>
                <w:b/>
                <w:lang w:val="en-US"/>
              </w:rPr>
              <w:t>In the case of Russian partners, one municipality acts as a beneficiary in the project with infrastructural component and it will engage other organizations (</w:t>
            </w:r>
            <w:proofErr w:type="spellStart"/>
            <w:r w:rsidR="00F57789" w:rsidRPr="00F57789">
              <w:rPr>
                <w:rFonts w:cs="Arial"/>
                <w:b/>
                <w:lang w:val="en-US"/>
              </w:rPr>
              <w:t>authorised</w:t>
            </w:r>
            <w:proofErr w:type="spellEnd"/>
            <w:r w:rsidR="00F57789" w:rsidRPr="00F57789">
              <w:rPr>
                <w:rFonts w:cs="Arial"/>
                <w:b/>
                <w:lang w:val="en-US"/>
              </w:rPr>
              <w:t xml:space="preserve"> municipal institutions and enterprises, sometimes their other departments with a status of a legal person) for the realization of the project because this municipality itself cannot be a direct contracting authority. Should they include such organizations as a beneficiary of the project?</w:t>
            </w:r>
          </w:p>
          <w:p w:rsidR="00A404A7" w:rsidRPr="001B38D5" w:rsidRDefault="00A404A7" w:rsidP="009C1857">
            <w:pPr>
              <w:jc w:val="both"/>
              <w:rPr>
                <w:b/>
                <w:lang w:val="en-US"/>
              </w:rPr>
            </w:pPr>
          </w:p>
        </w:tc>
      </w:tr>
      <w:tr w:rsidR="00A404A7" w:rsidRPr="00A06C79" w:rsidTr="00A404A7">
        <w:trPr>
          <w:trHeight w:val="272"/>
        </w:trPr>
        <w:tc>
          <w:tcPr>
            <w:tcW w:w="10144" w:type="dxa"/>
          </w:tcPr>
          <w:p w:rsidR="008A6628" w:rsidRPr="00F57789" w:rsidRDefault="007A1FA8" w:rsidP="00E61FF2">
            <w:pPr>
              <w:jc w:val="both"/>
              <w:rPr>
                <w:rFonts w:cs="Arial"/>
                <w:lang w:val="en-US"/>
              </w:rPr>
            </w:pPr>
            <w:r w:rsidRPr="007A1FA8">
              <w:rPr>
                <w:rFonts w:cs="Arial"/>
                <w:lang w:val="en-GB"/>
              </w:rPr>
              <w:t>S</w:t>
            </w:r>
            <w:proofErr w:type="spellStart"/>
            <w:r>
              <w:rPr>
                <w:rFonts w:cs="Arial"/>
                <w:lang w:val="en-US"/>
              </w:rPr>
              <w:t>uch</w:t>
            </w:r>
            <w:proofErr w:type="spellEnd"/>
            <w:r>
              <w:rPr>
                <w:rFonts w:cs="Arial"/>
                <w:lang w:val="en-US"/>
              </w:rPr>
              <w:t xml:space="preserve"> organizations could</w:t>
            </w:r>
            <w:r w:rsidR="00F57789" w:rsidRPr="00F57789">
              <w:rPr>
                <w:rFonts w:cs="Arial"/>
                <w:lang w:val="en-US"/>
              </w:rPr>
              <w:t xml:space="preserve"> be defined as municipal institutions supervised or subordinate</w:t>
            </w:r>
            <w:r w:rsidR="00CF0514">
              <w:rPr>
                <w:rFonts w:cs="Arial"/>
                <w:lang w:val="en-US"/>
              </w:rPr>
              <w:t>d</w:t>
            </w:r>
            <w:r w:rsidR="00F57789" w:rsidRPr="00F57789">
              <w:rPr>
                <w:rFonts w:cs="Arial"/>
                <w:lang w:val="en-US"/>
              </w:rPr>
              <w:t xml:space="preserve"> </w:t>
            </w:r>
            <w:r w:rsidR="00CF0514">
              <w:rPr>
                <w:rFonts w:cs="Arial"/>
                <w:lang w:val="en-US"/>
              </w:rPr>
              <w:t xml:space="preserve">to a municipality </w:t>
            </w:r>
            <w:r w:rsidR="00F57789" w:rsidRPr="00F57789">
              <w:rPr>
                <w:rFonts w:cs="Arial"/>
                <w:lang w:val="en-US"/>
              </w:rPr>
              <w:t xml:space="preserve">that will be responsible for the practical realization of the project. </w:t>
            </w:r>
            <w:r w:rsidR="00CF0514">
              <w:rPr>
                <w:rFonts w:cs="Arial"/>
                <w:lang w:val="en-US"/>
              </w:rPr>
              <w:t xml:space="preserve">If </w:t>
            </w:r>
            <w:r>
              <w:rPr>
                <w:rFonts w:cs="Arial"/>
                <w:lang w:val="en-US"/>
              </w:rPr>
              <w:t>the institution</w:t>
            </w:r>
            <w:r w:rsidR="00CC0458">
              <w:rPr>
                <w:rFonts w:cs="Arial"/>
                <w:lang w:val="en-US"/>
              </w:rPr>
              <w:t xml:space="preserve"> in question</w:t>
            </w:r>
            <w:r w:rsidR="00F57789" w:rsidRPr="00F57789">
              <w:rPr>
                <w:rFonts w:cs="Arial"/>
                <w:lang w:val="en-US"/>
              </w:rPr>
              <w:t xml:space="preserve"> fulfil</w:t>
            </w:r>
            <w:r>
              <w:rPr>
                <w:rFonts w:cs="Arial"/>
                <w:lang w:val="en-US"/>
              </w:rPr>
              <w:t>ls</w:t>
            </w:r>
            <w:r w:rsidR="00F57789" w:rsidRPr="00F57789">
              <w:rPr>
                <w:rFonts w:cs="Arial"/>
                <w:lang w:val="en-US"/>
              </w:rPr>
              <w:t xml:space="preserve"> the requirements described in point 2.2. of the Manual Part I and it is </w:t>
            </w:r>
            <w:r w:rsidR="00E61FF2">
              <w:rPr>
                <w:rFonts w:cs="Arial"/>
                <w:lang w:val="en-US"/>
              </w:rPr>
              <w:t>justified</w:t>
            </w:r>
            <w:r w:rsidR="00E61FF2" w:rsidRPr="00F57789">
              <w:rPr>
                <w:rFonts w:cs="Arial"/>
                <w:lang w:val="en-US"/>
              </w:rPr>
              <w:t xml:space="preserve"> </w:t>
            </w:r>
            <w:r w:rsidR="00F57789" w:rsidRPr="00F57789">
              <w:rPr>
                <w:rFonts w:cs="Arial"/>
                <w:lang w:val="en-US"/>
              </w:rPr>
              <w:t xml:space="preserve">by the </w:t>
            </w:r>
            <w:r w:rsidR="006C2AD6" w:rsidRPr="009604C1">
              <w:rPr>
                <w:rFonts w:cs="Arial"/>
                <w:lang w:val="en-US"/>
              </w:rPr>
              <w:t xml:space="preserve">conditions of the project implementation (for example the possibility of being a contracting authority), </w:t>
            </w:r>
            <w:r w:rsidR="00E61FF2" w:rsidRPr="009604C1">
              <w:rPr>
                <w:rFonts w:cs="Arial"/>
                <w:lang w:val="en-US"/>
              </w:rPr>
              <w:t xml:space="preserve">it </w:t>
            </w:r>
            <w:r w:rsidR="006C2AD6" w:rsidRPr="009604C1">
              <w:rPr>
                <w:rFonts w:cs="Arial"/>
                <w:lang w:val="en-US"/>
              </w:rPr>
              <w:t xml:space="preserve">can be included to the partnership as a beneficiary of the project. </w:t>
            </w:r>
            <w:proofErr w:type="spellStart"/>
            <w:r w:rsidR="006C2AD6" w:rsidRPr="009604C1">
              <w:rPr>
                <w:rFonts w:cs="Arial"/>
                <w:lang w:val="en-US"/>
              </w:rPr>
              <w:t>Hovever</w:t>
            </w:r>
            <w:proofErr w:type="spellEnd"/>
            <w:r w:rsidR="006C2AD6" w:rsidRPr="009604C1">
              <w:rPr>
                <w:rFonts w:cs="Arial"/>
                <w:lang w:val="en-US"/>
              </w:rPr>
              <w:t xml:space="preserve">, </w:t>
            </w:r>
            <w:r w:rsidR="00E61FF2" w:rsidRPr="009604C1">
              <w:rPr>
                <w:rFonts w:cs="Arial"/>
                <w:lang w:val="en-US"/>
              </w:rPr>
              <w:t>the</w:t>
            </w:r>
            <w:r w:rsidR="006C2AD6" w:rsidRPr="009604C1">
              <w:rPr>
                <w:rFonts w:cs="Arial"/>
                <w:lang w:val="en-US"/>
              </w:rPr>
              <w:t xml:space="preserve"> decision</w:t>
            </w:r>
            <w:r w:rsidR="00F57789" w:rsidRPr="00F57789">
              <w:rPr>
                <w:rFonts w:cs="Arial"/>
                <w:lang w:val="en-US"/>
              </w:rPr>
              <w:t xml:space="preserve"> o</w:t>
            </w:r>
            <w:r w:rsidR="00CC0458">
              <w:rPr>
                <w:rFonts w:cs="Arial"/>
                <w:lang w:val="en-US"/>
              </w:rPr>
              <w:t>n</w:t>
            </w:r>
            <w:r w:rsidR="00F57789" w:rsidRPr="00F57789">
              <w:rPr>
                <w:rFonts w:cs="Arial"/>
                <w:lang w:val="en-US"/>
              </w:rPr>
              <w:t xml:space="preserve"> the</w:t>
            </w:r>
            <w:r w:rsidR="00CC0458">
              <w:rPr>
                <w:rFonts w:cs="Arial"/>
                <w:lang w:val="en-US"/>
              </w:rPr>
              <w:t xml:space="preserve"> composition of the</w:t>
            </w:r>
            <w:r w:rsidR="00F57789" w:rsidRPr="00F57789">
              <w:rPr>
                <w:rFonts w:cs="Arial"/>
                <w:lang w:val="en-US"/>
              </w:rPr>
              <w:t xml:space="preserve"> proposed partnership is on the side of the potential beneficiaries.</w:t>
            </w:r>
          </w:p>
        </w:tc>
      </w:tr>
      <w:tr w:rsidR="00A404A7" w:rsidRPr="00A06C79" w:rsidTr="008A6628">
        <w:trPr>
          <w:trHeight w:val="328"/>
        </w:trPr>
        <w:tc>
          <w:tcPr>
            <w:tcW w:w="10144" w:type="dxa"/>
            <w:shd w:val="clear" w:color="auto" w:fill="D9D9D9" w:themeFill="background1" w:themeFillShade="D9"/>
          </w:tcPr>
          <w:p w:rsidR="00F57789" w:rsidRPr="00F57789" w:rsidRDefault="002038C8" w:rsidP="00F57789">
            <w:pPr>
              <w:jc w:val="both"/>
              <w:rPr>
                <w:rFonts w:cs="Arial"/>
                <w:b/>
                <w:lang w:val="en-GB"/>
              </w:rPr>
            </w:pPr>
            <w:r w:rsidRPr="001B38D5">
              <w:rPr>
                <w:b/>
                <w:lang w:val="en-US"/>
              </w:rPr>
              <w:t xml:space="preserve">8. </w:t>
            </w:r>
            <w:r w:rsidR="00F57789" w:rsidRPr="00F57789">
              <w:rPr>
                <w:rFonts w:cs="Arial"/>
                <w:b/>
                <w:lang w:val="en-GB"/>
              </w:rPr>
              <w:t xml:space="preserve">Partners from Poland and Russia are preparing two projects in thematic objective ACCESSIBILITY. Within the first project they are going to modernize 2 kilometres of road on Polish side and 2 kilometres of road on Russian side. Within the second project they are going to modernize additional 3 kilometres </w:t>
            </w:r>
            <w:r w:rsidR="003E1667">
              <w:rPr>
                <w:rFonts w:cs="Arial"/>
                <w:b/>
                <w:lang w:val="en-GB"/>
              </w:rPr>
              <w:t xml:space="preserve">of </w:t>
            </w:r>
            <w:r w:rsidR="00F57789" w:rsidRPr="00F57789">
              <w:rPr>
                <w:rFonts w:cs="Arial"/>
                <w:b/>
                <w:lang w:val="en-GB"/>
              </w:rPr>
              <w:t>road on Polish side and 3 kilome</w:t>
            </w:r>
            <w:r w:rsidR="007A1FA8">
              <w:rPr>
                <w:rFonts w:cs="Arial"/>
                <w:b/>
                <w:lang w:val="en-GB"/>
              </w:rPr>
              <w:t>tres of road on Russian side. For</w:t>
            </w:r>
            <w:r w:rsidR="00F57789" w:rsidRPr="00F57789">
              <w:rPr>
                <w:rFonts w:cs="Arial"/>
                <w:b/>
                <w:lang w:val="en-GB"/>
              </w:rPr>
              <w:t xml:space="preserve"> both project</w:t>
            </w:r>
            <w:r w:rsidR="007A1FA8">
              <w:rPr>
                <w:rFonts w:cs="Arial"/>
                <w:b/>
                <w:lang w:val="en-GB"/>
              </w:rPr>
              <w:t>s</w:t>
            </w:r>
            <w:r w:rsidR="00F57789" w:rsidRPr="00F57789">
              <w:rPr>
                <w:rFonts w:cs="Arial"/>
                <w:b/>
                <w:lang w:val="en-GB"/>
              </w:rPr>
              <w:t xml:space="preserve"> there will be the same technical documentation with separated appropriate part of roads. Is it appropriate to apply </w:t>
            </w:r>
            <w:r w:rsidR="003E1667">
              <w:rPr>
                <w:rFonts w:cs="Arial"/>
                <w:b/>
                <w:lang w:val="en-GB"/>
              </w:rPr>
              <w:t xml:space="preserve">for </w:t>
            </w:r>
            <w:r w:rsidR="00F57789" w:rsidRPr="00F57789">
              <w:rPr>
                <w:rFonts w:cs="Arial"/>
                <w:b/>
                <w:lang w:val="en-GB"/>
              </w:rPr>
              <w:t>two projects which are two parts of one project estimate?</w:t>
            </w:r>
          </w:p>
          <w:p w:rsidR="00A404A7" w:rsidRPr="001B38D5" w:rsidRDefault="00A404A7" w:rsidP="009C1857">
            <w:pPr>
              <w:jc w:val="both"/>
              <w:rPr>
                <w:b/>
                <w:lang w:val="en-US"/>
              </w:rPr>
            </w:pPr>
          </w:p>
        </w:tc>
      </w:tr>
      <w:tr w:rsidR="00A404A7" w:rsidRPr="00A06C79" w:rsidTr="00D0689E">
        <w:trPr>
          <w:trHeight w:val="257"/>
        </w:trPr>
        <w:tc>
          <w:tcPr>
            <w:tcW w:w="10144" w:type="dxa"/>
            <w:tcBorders>
              <w:bottom w:val="single" w:sz="4" w:space="0" w:color="auto"/>
            </w:tcBorders>
          </w:tcPr>
          <w:p w:rsidR="00F57789" w:rsidRPr="00F57789" w:rsidRDefault="007A1FA8" w:rsidP="00F57789">
            <w:pPr>
              <w:jc w:val="both"/>
              <w:rPr>
                <w:rFonts w:cs="Arial"/>
                <w:lang w:val="en-GB"/>
              </w:rPr>
            </w:pPr>
            <w:r>
              <w:rPr>
                <w:rFonts w:cs="Arial"/>
                <w:lang w:val="en-GB"/>
              </w:rPr>
              <w:t xml:space="preserve">It is important to take into account that </w:t>
            </w:r>
            <w:r w:rsidR="00F57789" w:rsidRPr="00F57789">
              <w:rPr>
                <w:rFonts w:cs="Arial"/>
                <w:lang w:val="en-GB"/>
              </w:rPr>
              <w:t>the planned action should be considered in the context of effective definition of a project which is described in the Programme Manual Part I, point 2.3.1. It says that PROJECT is a series of activities defined and managed in relation to the objectives, outputs, results and impacts which it aims at achieving within a defined time-period and budget. The</w:t>
            </w:r>
            <w:r w:rsidR="00CC0458">
              <w:rPr>
                <w:rFonts w:cs="Arial"/>
                <w:lang w:val="en-GB"/>
              </w:rPr>
              <w:t>se</w:t>
            </w:r>
            <w:r w:rsidR="00F57789" w:rsidRPr="00F57789">
              <w:rPr>
                <w:rFonts w:cs="Arial"/>
                <w:lang w:val="en-GB"/>
              </w:rPr>
              <w:t xml:space="preserve"> objectives, outputs, results and impacts shall contribute to the Priorities identified in the Programme (point 1.3. of the Manual).</w:t>
            </w:r>
          </w:p>
          <w:p w:rsidR="00F57789" w:rsidRPr="00F57789" w:rsidRDefault="00CC0458" w:rsidP="00F57789">
            <w:pPr>
              <w:jc w:val="both"/>
              <w:rPr>
                <w:rFonts w:cs="Arial"/>
                <w:lang w:val="en-GB"/>
              </w:rPr>
            </w:pPr>
            <w:r>
              <w:rPr>
                <w:rFonts w:cs="Arial"/>
                <w:lang w:val="en-GB"/>
              </w:rPr>
              <w:t>In relation</w:t>
            </w:r>
            <w:r w:rsidR="00F57789" w:rsidRPr="00F57789">
              <w:rPr>
                <w:rFonts w:cs="Arial"/>
                <w:lang w:val="en-GB"/>
              </w:rPr>
              <w:t xml:space="preserve"> to the presented situation two aspects of the mentioned definition seem particularly important:</w:t>
            </w:r>
          </w:p>
          <w:p w:rsidR="00F57789" w:rsidRPr="00F57789" w:rsidRDefault="007A1FA8" w:rsidP="00F57789">
            <w:pPr>
              <w:jc w:val="both"/>
              <w:rPr>
                <w:rFonts w:cs="Arial"/>
                <w:lang w:val="en-GB"/>
              </w:rPr>
            </w:pPr>
            <w:r>
              <w:rPr>
                <w:rFonts w:cs="Arial"/>
                <w:lang w:val="en-GB"/>
              </w:rPr>
              <w:t xml:space="preserve">• </w:t>
            </w:r>
            <w:r w:rsidR="00A16A45">
              <w:rPr>
                <w:rFonts w:cs="Arial"/>
                <w:lang w:val="en-GB"/>
              </w:rPr>
              <w:t>linkage</w:t>
            </w:r>
            <w:r w:rsidR="00F57789" w:rsidRPr="00F57789">
              <w:rPr>
                <w:rFonts w:cs="Arial"/>
                <w:lang w:val="en-GB"/>
              </w:rPr>
              <w:t xml:space="preserve"> of activities within the project;</w:t>
            </w:r>
          </w:p>
          <w:p w:rsidR="00F57789" w:rsidRPr="00F57789" w:rsidRDefault="007A1FA8" w:rsidP="00F57789">
            <w:pPr>
              <w:jc w:val="both"/>
              <w:rPr>
                <w:rFonts w:cs="Arial"/>
                <w:lang w:val="en-GB"/>
              </w:rPr>
            </w:pPr>
            <w:r>
              <w:rPr>
                <w:rFonts w:cs="Arial"/>
                <w:lang w:val="en-GB"/>
              </w:rPr>
              <w:t xml:space="preserve">• </w:t>
            </w:r>
            <w:r w:rsidR="00F57789" w:rsidRPr="00F57789">
              <w:rPr>
                <w:rFonts w:cs="Arial"/>
                <w:lang w:val="en-GB"/>
              </w:rPr>
              <w:t xml:space="preserve">and their reference to the assumed objectives and priorities </w:t>
            </w:r>
            <w:r w:rsidR="00A97DB8">
              <w:rPr>
                <w:rFonts w:cs="Arial"/>
                <w:lang w:val="en-GB"/>
              </w:rPr>
              <w:t>of</w:t>
            </w:r>
            <w:r w:rsidR="00F57789" w:rsidRPr="00F57789">
              <w:rPr>
                <w:rFonts w:cs="Arial"/>
                <w:lang w:val="en-GB"/>
              </w:rPr>
              <w:t xml:space="preserve"> the Programme.</w:t>
            </w:r>
          </w:p>
          <w:p w:rsidR="00F57789" w:rsidRPr="00F57789" w:rsidRDefault="007A1FA8" w:rsidP="00F57789">
            <w:pPr>
              <w:jc w:val="both"/>
              <w:rPr>
                <w:rFonts w:cs="Arial"/>
                <w:lang w:val="en-GB"/>
              </w:rPr>
            </w:pPr>
            <w:r>
              <w:rPr>
                <w:rFonts w:cs="Arial"/>
                <w:lang w:val="en-GB"/>
              </w:rPr>
              <w:t>The applicant should duly justify and show that the</w:t>
            </w:r>
            <w:r w:rsidR="00B46A37">
              <w:rPr>
                <w:rFonts w:cs="Arial"/>
                <w:lang w:val="en-GB"/>
              </w:rPr>
              <w:t>s</w:t>
            </w:r>
            <w:r>
              <w:rPr>
                <w:rFonts w:cs="Arial"/>
                <w:lang w:val="en-GB"/>
              </w:rPr>
              <w:t xml:space="preserve">e are </w:t>
            </w:r>
            <w:r w:rsidR="00F57789" w:rsidRPr="00F57789">
              <w:rPr>
                <w:rFonts w:cs="Arial"/>
                <w:lang w:val="en-GB"/>
              </w:rPr>
              <w:t xml:space="preserve">two </w:t>
            </w:r>
            <w:proofErr w:type="spellStart"/>
            <w:r w:rsidR="00F57789" w:rsidRPr="00F57789">
              <w:rPr>
                <w:rFonts w:cs="Arial"/>
                <w:lang w:val="en-GB"/>
              </w:rPr>
              <w:t>separat</w:t>
            </w:r>
            <w:proofErr w:type="spellEnd"/>
            <w:r w:rsidR="00F57789" w:rsidRPr="00F57789">
              <w:rPr>
                <w:rFonts w:cs="Arial"/>
                <w:lang w:val="en-GB"/>
              </w:rPr>
              <w:t xml:space="preserve"> projects (substantively, organizationally, functionally separated</w:t>
            </w:r>
            <w:r w:rsidR="00B46A37">
              <w:rPr>
                <w:rFonts w:cs="Arial"/>
                <w:lang w:val="en-GB"/>
              </w:rPr>
              <w:t xml:space="preserve"> and independent of each other</w:t>
            </w:r>
            <w:r w:rsidR="00F57789" w:rsidRPr="00F57789">
              <w:rPr>
                <w:rFonts w:cs="Arial"/>
                <w:lang w:val="en-GB"/>
              </w:rPr>
              <w:t xml:space="preserve">) </w:t>
            </w:r>
            <w:r w:rsidR="00B46A37">
              <w:rPr>
                <w:rFonts w:cs="Arial"/>
                <w:lang w:val="en-GB"/>
              </w:rPr>
              <w:t xml:space="preserve">and </w:t>
            </w:r>
            <w:r>
              <w:rPr>
                <w:rFonts w:cs="Arial"/>
                <w:lang w:val="en-GB"/>
              </w:rPr>
              <w:t xml:space="preserve">not </w:t>
            </w:r>
            <w:r w:rsidR="00B46A37">
              <w:rPr>
                <w:rFonts w:cs="Arial"/>
                <w:lang w:val="en-GB"/>
              </w:rPr>
              <w:t xml:space="preserve">two parts of </w:t>
            </w:r>
            <w:r w:rsidR="00F57789" w:rsidRPr="00F57789">
              <w:rPr>
                <w:rFonts w:cs="Arial"/>
                <w:lang w:val="en-GB"/>
              </w:rPr>
              <w:t>one big project submitted by one i</w:t>
            </w:r>
            <w:r>
              <w:rPr>
                <w:rFonts w:cs="Arial"/>
                <w:lang w:val="en-GB"/>
              </w:rPr>
              <w:t>nstitution</w:t>
            </w:r>
            <w:r w:rsidR="00B46A37">
              <w:rPr>
                <w:rFonts w:cs="Arial"/>
                <w:lang w:val="en-GB"/>
              </w:rPr>
              <w:t xml:space="preserve">, which was </w:t>
            </w:r>
            <w:r>
              <w:rPr>
                <w:rFonts w:cs="Arial"/>
                <w:lang w:val="en-GB"/>
              </w:rPr>
              <w:t xml:space="preserve"> artificial</w:t>
            </w:r>
            <w:r w:rsidR="00B46A37">
              <w:rPr>
                <w:rFonts w:cs="Arial"/>
                <w:lang w:val="en-GB"/>
              </w:rPr>
              <w:t>ly</w:t>
            </w:r>
            <w:r>
              <w:rPr>
                <w:rFonts w:cs="Arial"/>
                <w:lang w:val="en-GB"/>
              </w:rPr>
              <w:t xml:space="preserve"> </w:t>
            </w:r>
            <w:r w:rsidR="00F57789" w:rsidRPr="00F57789">
              <w:rPr>
                <w:rFonts w:cs="Arial"/>
                <w:lang w:val="en-GB"/>
              </w:rPr>
              <w:t>divi</w:t>
            </w:r>
            <w:r w:rsidR="00B46A37">
              <w:rPr>
                <w:rFonts w:cs="Arial"/>
                <w:lang w:val="en-GB"/>
              </w:rPr>
              <w:t>ded</w:t>
            </w:r>
            <w:r w:rsidR="00F57789" w:rsidRPr="00F57789">
              <w:rPr>
                <w:rFonts w:cs="Arial"/>
                <w:lang w:val="en-GB"/>
              </w:rPr>
              <w:t xml:space="preserve"> into two projects.</w:t>
            </w:r>
          </w:p>
          <w:p w:rsidR="00AE2715" w:rsidRPr="001B38D5" w:rsidRDefault="00613D3B" w:rsidP="00A97DB8">
            <w:pPr>
              <w:jc w:val="both"/>
              <w:rPr>
                <w:rFonts w:cs="Arial"/>
                <w:lang w:val="en-GB"/>
              </w:rPr>
            </w:pPr>
            <w:r>
              <w:rPr>
                <w:rFonts w:cs="Arial"/>
                <w:lang w:val="en-GB"/>
              </w:rPr>
              <w:t>T</w:t>
            </w:r>
            <w:r w:rsidR="00F57789" w:rsidRPr="00F57789">
              <w:rPr>
                <w:rFonts w:cs="Arial"/>
                <w:lang w:val="en-GB"/>
              </w:rPr>
              <w:t xml:space="preserve">he logic of </w:t>
            </w:r>
            <w:r>
              <w:rPr>
                <w:rFonts w:cs="Arial"/>
                <w:lang w:val="en-GB"/>
              </w:rPr>
              <w:t xml:space="preserve">each </w:t>
            </w:r>
            <w:r w:rsidR="00F57789" w:rsidRPr="00F57789">
              <w:rPr>
                <w:rFonts w:cs="Arial"/>
                <w:lang w:val="en-GB"/>
              </w:rPr>
              <w:t xml:space="preserve">project </w:t>
            </w:r>
            <w:r>
              <w:rPr>
                <w:rFonts w:cs="Arial"/>
                <w:lang w:val="en-GB"/>
              </w:rPr>
              <w:t xml:space="preserve">have to be retained </w:t>
            </w:r>
            <w:r w:rsidR="00F57789" w:rsidRPr="00F57789">
              <w:rPr>
                <w:rFonts w:cs="Arial"/>
                <w:lang w:val="en-GB"/>
              </w:rPr>
              <w:t xml:space="preserve">and </w:t>
            </w:r>
            <w:r>
              <w:rPr>
                <w:rFonts w:cs="Arial"/>
                <w:lang w:val="en-GB"/>
              </w:rPr>
              <w:t xml:space="preserve">there cannot be any </w:t>
            </w:r>
            <w:r w:rsidR="00F57789" w:rsidRPr="00F57789">
              <w:rPr>
                <w:rFonts w:cs="Arial"/>
                <w:lang w:val="en-GB"/>
              </w:rPr>
              <w:t xml:space="preserve"> doubts about the possibility of achieving the assumed objectives and priorities </w:t>
            </w:r>
            <w:r w:rsidR="00A97DB8">
              <w:rPr>
                <w:rFonts w:cs="Arial"/>
                <w:lang w:val="en-GB"/>
              </w:rPr>
              <w:t>of</w:t>
            </w:r>
            <w:r w:rsidR="00A97DB8" w:rsidRPr="00F57789">
              <w:rPr>
                <w:rFonts w:cs="Arial"/>
                <w:lang w:val="en-GB"/>
              </w:rPr>
              <w:t xml:space="preserve"> </w:t>
            </w:r>
            <w:r w:rsidR="00F57789" w:rsidRPr="00F57789">
              <w:rPr>
                <w:rFonts w:cs="Arial"/>
                <w:lang w:val="en-GB"/>
              </w:rPr>
              <w:t xml:space="preserve">the Programme especially in  case </w:t>
            </w:r>
            <w:r>
              <w:rPr>
                <w:rFonts w:cs="Arial"/>
                <w:lang w:val="en-GB"/>
              </w:rPr>
              <w:t xml:space="preserve">the </w:t>
            </w:r>
            <w:r w:rsidR="00F57789" w:rsidRPr="00F57789">
              <w:rPr>
                <w:rFonts w:cs="Arial"/>
                <w:lang w:val="en-GB"/>
              </w:rPr>
              <w:t xml:space="preserve"> grant </w:t>
            </w:r>
            <w:r>
              <w:rPr>
                <w:rFonts w:cs="Arial"/>
                <w:lang w:val="en-GB"/>
              </w:rPr>
              <w:t xml:space="preserve">would be </w:t>
            </w:r>
            <w:r w:rsidR="00F57789" w:rsidRPr="00F57789">
              <w:rPr>
                <w:rFonts w:cs="Arial"/>
                <w:lang w:val="en-GB"/>
              </w:rPr>
              <w:t>award</w:t>
            </w:r>
            <w:r>
              <w:rPr>
                <w:rFonts w:cs="Arial"/>
                <w:lang w:val="en-GB"/>
              </w:rPr>
              <w:t>ed</w:t>
            </w:r>
            <w:r w:rsidR="00F57789" w:rsidRPr="00F57789">
              <w:rPr>
                <w:rFonts w:cs="Arial"/>
                <w:lang w:val="en-GB"/>
              </w:rPr>
              <w:t xml:space="preserve">  for only one project out of two.</w:t>
            </w:r>
          </w:p>
        </w:tc>
      </w:tr>
      <w:tr w:rsidR="00D0689E" w:rsidRPr="00A06C79" w:rsidTr="009701FD">
        <w:trPr>
          <w:trHeight w:val="618"/>
        </w:trPr>
        <w:tc>
          <w:tcPr>
            <w:tcW w:w="10144" w:type="dxa"/>
            <w:shd w:val="clear" w:color="auto" w:fill="D9D9D9" w:themeFill="background1" w:themeFillShade="D9"/>
          </w:tcPr>
          <w:p w:rsidR="00D0689E" w:rsidRPr="009701FD" w:rsidRDefault="00D0689E" w:rsidP="00D0689E">
            <w:pPr>
              <w:jc w:val="both"/>
              <w:rPr>
                <w:rFonts w:cs="Arial"/>
                <w:b/>
                <w:lang w:val="en-GB"/>
              </w:rPr>
            </w:pPr>
            <w:r>
              <w:rPr>
                <w:b/>
                <w:lang w:val="en-US"/>
              </w:rPr>
              <w:t>9</w:t>
            </w:r>
            <w:r w:rsidRPr="001B38D5">
              <w:rPr>
                <w:b/>
                <w:lang w:val="en-US"/>
              </w:rPr>
              <w:t xml:space="preserve">. </w:t>
            </w:r>
            <w:r w:rsidR="00F57789" w:rsidRPr="00F57789">
              <w:rPr>
                <w:rFonts w:cs="Arial"/>
                <w:b/>
                <w:lang w:val="en-GB"/>
              </w:rPr>
              <w:t>What exchange rate shall be applied in calculating the beneficiary’s turnover in euro (p. 9.3/10.3 Financial capacities in the AF)?</w:t>
            </w:r>
          </w:p>
        </w:tc>
      </w:tr>
      <w:tr w:rsidR="00D0689E" w:rsidRPr="00A06C79" w:rsidTr="00F57789">
        <w:trPr>
          <w:trHeight w:val="257"/>
        </w:trPr>
        <w:tc>
          <w:tcPr>
            <w:tcW w:w="10144" w:type="dxa"/>
            <w:tcBorders>
              <w:bottom w:val="single" w:sz="4" w:space="0" w:color="auto"/>
            </w:tcBorders>
          </w:tcPr>
          <w:p w:rsidR="009604C1" w:rsidRPr="009604C1" w:rsidRDefault="009604C1" w:rsidP="009604C1">
            <w:pPr>
              <w:pStyle w:val="NormalnyWeb"/>
              <w:jc w:val="both"/>
              <w:rPr>
                <w:rFonts w:ascii="Calibri" w:hAnsi="Calibri" w:cs="Arial"/>
                <w:bCs/>
                <w:iCs/>
                <w:sz w:val="20"/>
                <w:szCs w:val="20"/>
                <w:lang w:val="en-GB"/>
              </w:rPr>
            </w:pPr>
            <w:r w:rsidRPr="00290B92">
              <w:rPr>
                <w:rFonts w:ascii="Calibri" w:hAnsi="Calibri" w:cs="Arial"/>
                <w:bCs/>
                <w:iCs/>
                <w:sz w:val="20"/>
                <w:szCs w:val="20"/>
                <w:lang w:val="en-GB"/>
              </w:rPr>
              <w:t xml:space="preserve">It is recommended to use corresponding average annual exchange rates published at </w:t>
            </w:r>
            <w:r w:rsidR="0033019D">
              <w:lastRenderedPageBreak/>
              <w:fldChar w:fldCharType="begin"/>
            </w:r>
            <w:r w:rsidR="0033019D" w:rsidRPr="00A06C79">
              <w:rPr>
                <w:lang w:val="en-US"/>
              </w:rPr>
              <w:instrText>HYPERLINK "http://ec.europa.eu/budget/contracts_grants/info_contracts/inforeuro/index_en.cfm"</w:instrText>
            </w:r>
            <w:r w:rsidR="0033019D">
              <w:fldChar w:fldCharType="separate"/>
            </w:r>
            <w:r w:rsidRPr="00290B92">
              <w:rPr>
                <w:rStyle w:val="Hipercze"/>
                <w:rFonts w:ascii="Calibri" w:hAnsi="Calibri" w:cs="Arial"/>
                <w:bCs/>
                <w:iCs/>
                <w:sz w:val="20"/>
                <w:szCs w:val="20"/>
                <w:lang w:val="en-GB"/>
              </w:rPr>
              <w:t>http://ec.europa.eu/budget/contracts_grants/info_contracts/inforeuro/index_en.cfm</w:t>
            </w:r>
            <w:r w:rsidR="0033019D">
              <w:fldChar w:fldCharType="end"/>
            </w:r>
            <w:r w:rsidRPr="00290B92">
              <w:rPr>
                <w:rFonts w:ascii="Calibri" w:hAnsi="Calibri" w:cs="Arial"/>
                <w:bCs/>
                <w:iCs/>
                <w:sz w:val="20"/>
                <w:szCs w:val="20"/>
                <w:lang w:val="en-GB"/>
              </w:rPr>
              <w:t>.</w:t>
            </w:r>
          </w:p>
          <w:p w:rsidR="00025BFC" w:rsidRPr="00025BFC" w:rsidRDefault="009604C1" w:rsidP="00025BFC">
            <w:pPr>
              <w:spacing w:after="200" w:line="276" w:lineRule="auto"/>
              <w:rPr>
                <w:rFonts w:cs="Arial"/>
                <w:lang w:val="en-GB"/>
              </w:rPr>
            </w:pPr>
            <w:r>
              <w:rPr>
                <w:rFonts w:cs="Arial"/>
                <w:lang w:val="en-GB"/>
              </w:rPr>
              <w:t>For the interim/final reports a</w:t>
            </w:r>
            <w:r w:rsidR="00025BFC">
              <w:rPr>
                <w:rFonts w:cs="Arial"/>
                <w:lang w:val="en-GB"/>
              </w:rPr>
              <w:t xml:space="preserve">s indicated in </w:t>
            </w:r>
            <w:r>
              <w:rPr>
                <w:rFonts w:cs="Arial"/>
                <w:lang w:val="en-GB"/>
              </w:rPr>
              <w:t xml:space="preserve">the </w:t>
            </w:r>
            <w:r w:rsidR="00025BFC">
              <w:rPr>
                <w:rFonts w:cs="Arial"/>
                <w:lang w:val="en-GB"/>
              </w:rPr>
              <w:t>Programme Manual Part II , point 5.1.2, a</w:t>
            </w:r>
            <w:r w:rsidR="006C2AD6" w:rsidRPr="006C2AD6">
              <w:rPr>
                <w:rFonts w:cs="Arial"/>
                <w:lang w:val="en-GB"/>
              </w:rPr>
              <w:t>ny conversion in interim/final reports into euro of the real costs borne in other currencies shall be done at</w:t>
            </w:r>
            <w:r w:rsidR="00025BFC">
              <w:rPr>
                <w:rFonts w:cs="Arial"/>
                <w:lang w:val="en-GB"/>
              </w:rPr>
              <w:t xml:space="preserve"> </w:t>
            </w:r>
            <w:r w:rsidR="006C2AD6" w:rsidRPr="006C2AD6">
              <w:rPr>
                <w:rFonts w:cs="Arial"/>
                <w:lang w:val="en-GB"/>
              </w:rPr>
              <w:t>the rate published on the Info</w:t>
            </w:r>
            <w:r w:rsidR="00025BFC">
              <w:rPr>
                <w:rFonts w:cs="Arial"/>
                <w:lang w:val="en-GB"/>
              </w:rPr>
              <w:t xml:space="preserve"> </w:t>
            </w:r>
            <w:r w:rsidR="006C2AD6" w:rsidRPr="006C2AD6">
              <w:rPr>
                <w:rFonts w:cs="Arial"/>
                <w:lang w:val="en-GB"/>
              </w:rPr>
              <w:t>Euro for the month in which the payment</w:t>
            </w:r>
            <w:r w:rsidR="00025BFC">
              <w:rPr>
                <w:rFonts w:cs="Arial"/>
                <w:lang w:val="en-GB"/>
              </w:rPr>
              <w:t xml:space="preserve"> </w:t>
            </w:r>
            <w:r w:rsidR="006C2AD6" w:rsidRPr="006C2AD6">
              <w:rPr>
                <w:rFonts w:cs="Arial"/>
                <w:lang w:val="en-GB"/>
              </w:rPr>
              <w:t>expenditure was incurred.</w:t>
            </w:r>
          </w:p>
          <w:p w:rsidR="00025BFC" w:rsidRDefault="00025BFC" w:rsidP="00F57789">
            <w:pPr>
              <w:jc w:val="both"/>
              <w:rPr>
                <w:rFonts w:cs="Arial"/>
                <w:lang w:val="en-GB"/>
              </w:rPr>
            </w:pPr>
            <w:r>
              <w:rPr>
                <w:rFonts w:cs="Arial"/>
                <w:lang w:val="en-GB"/>
              </w:rPr>
              <w:t xml:space="preserve">For the exchange rates please see the website: </w:t>
            </w:r>
          </w:p>
          <w:p w:rsidR="00D0689E" w:rsidRDefault="0033019D" w:rsidP="00F57789">
            <w:pPr>
              <w:jc w:val="both"/>
              <w:rPr>
                <w:rFonts w:cs="Arial"/>
                <w:lang w:val="en-GB"/>
              </w:rPr>
            </w:pPr>
            <w:r>
              <w:fldChar w:fldCharType="begin"/>
            </w:r>
            <w:r w:rsidRPr="00A06C79">
              <w:rPr>
                <w:lang w:val="en-GB"/>
              </w:rPr>
              <w:instrText>HYPERLINK "http://ec.europa.eu/budget/contracts_grants/info_contracts/inforeuro/index_en.cfm"</w:instrText>
            </w:r>
            <w:r>
              <w:fldChar w:fldCharType="separate"/>
            </w:r>
            <w:r w:rsidR="00F57789" w:rsidRPr="001D5206">
              <w:rPr>
                <w:rStyle w:val="Hipercze"/>
                <w:rFonts w:cs="Arial"/>
                <w:lang w:val="en-GB"/>
              </w:rPr>
              <w:t>http://ec.europa.eu/budget/contracts_grants/info_contracts/inforeuro/index_en.cfm</w:t>
            </w:r>
            <w:r>
              <w:fldChar w:fldCharType="end"/>
            </w:r>
            <w:r w:rsidR="00F57789" w:rsidRPr="00F57789">
              <w:rPr>
                <w:rFonts w:cs="Arial"/>
                <w:lang w:val="en-GB"/>
              </w:rPr>
              <w:t>.</w:t>
            </w:r>
          </w:p>
          <w:p w:rsidR="00F57789" w:rsidRPr="001B38D5" w:rsidRDefault="00F57789" w:rsidP="00F57789">
            <w:pPr>
              <w:jc w:val="both"/>
              <w:rPr>
                <w:rFonts w:cs="Arial"/>
                <w:lang w:val="en-GB"/>
              </w:rPr>
            </w:pPr>
          </w:p>
        </w:tc>
      </w:tr>
      <w:tr w:rsidR="00D0689E" w:rsidRPr="00A06C79" w:rsidTr="00F57789">
        <w:trPr>
          <w:trHeight w:val="257"/>
        </w:trPr>
        <w:tc>
          <w:tcPr>
            <w:tcW w:w="10144" w:type="dxa"/>
            <w:shd w:val="clear" w:color="auto" w:fill="D9D9D9" w:themeFill="background1" w:themeFillShade="D9"/>
          </w:tcPr>
          <w:p w:rsidR="00D0689E" w:rsidRPr="00F57789" w:rsidRDefault="00D0689E" w:rsidP="00D0689E">
            <w:pPr>
              <w:jc w:val="both"/>
              <w:rPr>
                <w:rFonts w:cs="Arial"/>
                <w:b/>
                <w:lang w:val="en-GB"/>
              </w:rPr>
            </w:pPr>
            <w:r w:rsidRPr="00F57789">
              <w:rPr>
                <w:rFonts w:cs="Arial"/>
                <w:b/>
                <w:lang w:val="en-GB"/>
              </w:rPr>
              <w:lastRenderedPageBreak/>
              <w:t>10.</w:t>
            </w:r>
            <w:r w:rsidR="00F57789">
              <w:rPr>
                <w:rFonts w:cs="Arial"/>
                <w:b/>
                <w:lang w:val="en-GB"/>
              </w:rPr>
              <w:t xml:space="preserve"> </w:t>
            </w:r>
            <w:r w:rsidR="00F57789" w:rsidRPr="00F57789">
              <w:rPr>
                <w:rFonts w:cs="Arial"/>
                <w:b/>
                <w:lang w:val="en-GB"/>
              </w:rPr>
              <w:t>What documentation shall be submitted by a Russian beneficiary in case the approval of technical documentation is not required by national legislation?</w:t>
            </w:r>
          </w:p>
        </w:tc>
      </w:tr>
      <w:tr w:rsidR="00D0689E" w:rsidRPr="00A06C79" w:rsidTr="009701FD">
        <w:trPr>
          <w:trHeight w:val="257"/>
        </w:trPr>
        <w:tc>
          <w:tcPr>
            <w:tcW w:w="10144" w:type="dxa"/>
            <w:tcBorders>
              <w:bottom w:val="single" w:sz="4" w:space="0" w:color="auto"/>
            </w:tcBorders>
          </w:tcPr>
          <w:p w:rsidR="00D0689E" w:rsidRPr="001B38D5" w:rsidRDefault="00F57789" w:rsidP="00A16A45">
            <w:pPr>
              <w:jc w:val="both"/>
              <w:rPr>
                <w:rFonts w:cs="Arial"/>
                <w:lang w:val="en-GB"/>
              </w:rPr>
            </w:pPr>
            <w:r w:rsidRPr="00F57789">
              <w:rPr>
                <w:rFonts w:cs="Arial"/>
                <w:lang w:val="en-GB"/>
              </w:rPr>
              <w:t xml:space="preserve">Annex A15 to be submitted by Russian beneficiaries shall include: 1) explanatory note to the valid technical documentation; 2) acceptance of technical documentation by relevant institutions; 3) cost estimation documentation approved by relevant institutions. In case the acceptance of technical documentation by relevant institutions (point 2) is not required by national legislation, a beneficiary can submit </w:t>
            </w:r>
            <w:r w:rsidR="00A16A45" w:rsidRPr="00F57789">
              <w:rPr>
                <w:rFonts w:cs="Arial"/>
                <w:lang w:val="en-GB"/>
              </w:rPr>
              <w:t xml:space="preserve">instead </w:t>
            </w:r>
            <w:r w:rsidRPr="00F57789">
              <w:rPr>
                <w:rFonts w:cs="Arial"/>
                <w:lang w:val="en-GB"/>
              </w:rPr>
              <w:t xml:space="preserve">a letter addressed to the JTS (in English) with an explanation and reference to relevant national legislation under which it is exempted from obtaining the approval of technical documentation by authorised bodies.           </w:t>
            </w:r>
          </w:p>
        </w:tc>
      </w:tr>
      <w:tr w:rsidR="00D0689E" w:rsidRPr="00A06C79" w:rsidTr="009701FD">
        <w:trPr>
          <w:trHeight w:val="611"/>
        </w:trPr>
        <w:tc>
          <w:tcPr>
            <w:tcW w:w="10144" w:type="dxa"/>
            <w:shd w:val="clear" w:color="auto" w:fill="D9D9D9" w:themeFill="background1" w:themeFillShade="D9"/>
          </w:tcPr>
          <w:p w:rsidR="00D0689E" w:rsidRPr="00F57789" w:rsidRDefault="00D0689E" w:rsidP="00D0689E">
            <w:pPr>
              <w:jc w:val="both"/>
              <w:rPr>
                <w:rFonts w:cs="Arial"/>
                <w:b/>
                <w:lang w:val="en-GB"/>
              </w:rPr>
            </w:pPr>
            <w:r w:rsidRPr="00F57789">
              <w:rPr>
                <w:rFonts w:cs="Arial"/>
                <w:b/>
                <w:lang w:val="en-GB"/>
              </w:rPr>
              <w:t>11.</w:t>
            </w:r>
            <w:r w:rsidR="009701FD" w:rsidRPr="009701FD">
              <w:rPr>
                <w:rFonts w:cs="Arial"/>
                <w:lang w:val="en-GB"/>
              </w:rPr>
              <w:t xml:space="preserve"> </w:t>
            </w:r>
            <w:r w:rsidR="009701FD" w:rsidRPr="009701FD">
              <w:rPr>
                <w:rFonts w:cs="Arial"/>
                <w:b/>
                <w:lang w:val="en-GB"/>
              </w:rPr>
              <w:t>How to fill in the online generator in case there are several infrastructural components valued less than 1 million euro?</w:t>
            </w:r>
          </w:p>
        </w:tc>
      </w:tr>
      <w:tr w:rsidR="00D0689E" w:rsidRPr="00A06C79" w:rsidTr="009701FD">
        <w:trPr>
          <w:trHeight w:val="257"/>
        </w:trPr>
        <w:tc>
          <w:tcPr>
            <w:tcW w:w="10144" w:type="dxa"/>
            <w:tcBorders>
              <w:bottom w:val="single" w:sz="4" w:space="0" w:color="auto"/>
            </w:tcBorders>
          </w:tcPr>
          <w:p w:rsidR="00D0689E" w:rsidRPr="001B38D5" w:rsidRDefault="009701FD" w:rsidP="00A16A45">
            <w:pPr>
              <w:jc w:val="both"/>
              <w:rPr>
                <w:rFonts w:cs="Arial"/>
                <w:lang w:val="en-GB"/>
              </w:rPr>
            </w:pPr>
            <w:r w:rsidRPr="009701FD">
              <w:rPr>
                <w:rFonts w:cs="Arial"/>
                <w:lang w:val="en-GB"/>
              </w:rPr>
              <w:t>After information on these infrastructural components is inserted in the budget section, the online generator will create the corresponding number of additional lines in section 3.5 Brief Feasibility Study so that you will be able to describe each infrastructural component separately.</w:t>
            </w:r>
          </w:p>
        </w:tc>
      </w:tr>
      <w:tr w:rsidR="00F57789" w:rsidRPr="00A06C79" w:rsidTr="009701FD">
        <w:trPr>
          <w:trHeight w:val="257"/>
        </w:trPr>
        <w:tc>
          <w:tcPr>
            <w:tcW w:w="10144" w:type="dxa"/>
            <w:shd w:val="clear" w:color="auto" w:fill="D9D9D9" w:themeFill="background1" w:themeFillShade="D9"/>
          </w:tcPr>
          <w:p w:rsidR="00F57789" w:rsidRPr="00F57789" w:rsidRDefault="00F57789" w:rsidP="00D0689E">
            <w:pPr>
              <w:jc w:val="both"/>
              <w:rPr>
                <w:rFonts w:cs="Arial"/>
                <w:b/>
                <w:lang w:val="en-GB"/>
              </w:rPr>
            </w:pPr>
            <w:r w:rsidRPr="00F57789">
              <w:rPr>
                <w:rFonts w:cs="Arial"/>
                <w:b/>
                <w:lang w:val="en-GB"/>
              </w:rPr>
              <w:t>12.</w:t>
            </w:r>
            <w:r w:rsidR="009701FD" w:rsidRPr="009701FD">
              <w:rPr>
                <w:rFonts w:cs="Arial"/>
                <w:lang w:val="en-GB"/>
              </w:rPr>
              <w:t xml:space="preserve"> </w:t>
            </w:r>
            <w:r w:rsidR="009701FD" w:rsidRPr="009701FD">
              <w:rPr>
                <w:rFonts w:cs="Arial"/>
                <w:b/>
                <w:lang w:val="en-GB"/>
              </w:rPr>
              <w:t xml:space="preserve">Can contracts be concluded before the start of the implementation period of a project? </w:t>
            </w:r>
          </w:p>
        </w:tc>
      </w:tr>
      <w:tr w:rsidR="00F57789" w:rsidRPr="00A06C79" w:rsidTr="009701FD">
        <w:trPr>
          <w:trHeight w:val="257"/>
        </w:trPr>
        <w:tc>
          <w:tcPr>
            <w:tcW w:w="10144" w:type="dxa"/>
            <w:tcBorders>
              <w:bottom w:val="single" w:sz="4" w:space="0" w:color="auto"/>
            </w:tcBorders>
          </w:tcPr>
          <w:p w:rsidR="00F57789" w:rsidRPr="001B38D5" w:rsidRDefault="009701FD" w:rsidP="00E91A8D">
            <w:pPr>
              <w:jc w:val="both"/>
              <w:rPr>
                <w:rFonts w:cs="Arial"/>
                <w:lang w:val="en-GB"/>
              </w:rPr>
            </w:pPr>
            <w:r w:rsidRPr="009701FD">
              <w:rPr>
                <w:rFonts w:cs="Arial"/>
                <w:lang w:val="en-GB"/>
              </w:rPr>
              <w:t xml:space="preserve">In general, </w:t>
            </w:r>
            <w:r w:rsidR="00A16A45">
              <w:rPr>
                <w:rFonts w:cs="Arial"/>
                <w:lang w:val="en-GB"/>
              </w:rPr>
              <w:t xml:space="preserve">contract awarding </w:t>
            </w:r>
            <w:r w:rsidRPr="009701FD">
              <w:rPr>
                <w:rFonts w:cs="Arial"/>
                <w:lang w:val="en-GB"/>
              </w:rPr>
              <w:t xml:space="preserve">procedures  may be initiated and contracts may be concluded by the beneficiaries before the start of the implementation period of the project (more information is provided in 6.2.1 General rules regarding the cost eligibility in the Programme Manual Part I – Applicant). However, their execution must be carried out within the implementation period of the project: to be </w:t>
            </w:r>
            <w:r w:rsidR="00E91A8D">
              <w:rPr>
                <w:rFonts w:cs="Arial"/>
                <w:lang w:val="en-GB"/>
              </w:rPr>
              <w:t>consider</w:t>
            </w:r>
            <w:r w:rsidR="004C5B2B">
              <w:rPr>
                <w:rFonts w:cs="Arial"/>
                <w:lang w:val="en-GB"/>
              </w:rPr>
              <w:t>ed</w:t>
            </w:r>
            <w:r w:rsidR="00E91A8D">
              <w:rPr>
                <w:rFonts w:cs="Arial"/>
                <w:lang w:val="en-GB"/>
              </w:rPr>
              <w:t xml:space="preserve"> </w:t>
            </w:r>
            <w:r w:rsidRPr="009701FD">
              <w:rPr>
                <w:rFonts w:cs="Arial"/>
                <w:lang w:val="en-GB"/>
              </w:rPr>
              <w:t>eligible, costs must be incurred during the implementation period of the project (with an exception of costs relat</w:t>
            </w:r>
            <w:r w:rsidR="00A16A45">
              <w:rPr>
                <w:rFonts w:cs="Arial"/>
                <w:lang w:val="en-GB"/>
              </w:rPr>
              <w:t>ed</w:t>
            </w:r>
            <w:r w:rsidRPr="009701FD">
              <w:rPr>
                <w:rFonts w:cs="Arial"/>
                <w:lang w:val="en-GB"/>
              </w:rPr>
              <w:t xml:space="preserve"> to preparation of final reports</w:t>
            </w:r>
            <w:r w:rsidR="00E91A8D">
              <w:rPr>
                <w:rFonts w:cs="Arial"/>
                <w:lang w:val="en-GB"/>
              </w:rPr>
              <w:t xml:space="preserve"> and preparatory costs described in the Programme Manual Part I – Applicant, point 6.2.2</w:t>
            </w:r>
            <w:r w:rsidRPr="009701FD">
              <w:rPr>
                <w:rFonts w:cs="Arial"/>
                <w:lang w:val="en-GB"/>
              </w:rPr>
              <w:t>).</w:t>
            </w:r>
          </w:p>
        </w:tc>
      </w:tr>
      <w:tr w:rsidR="00F57789" w:rsidRPr="00A06C79" w:rsidTr="009701FD">
        <w:trPr>
          <w:trHeight w:val="921"/>
        </w:trPr>
        <w:tc>
          <w:tcPr>
            <w:tcW w:w="10144" w:type="dxa"/>
            <w:shd w:val="clear" w:color="auto" w:fill="D9D9D9" w:themeFill="background1" w:themeFillShade="D9"/>
          </w:tcPr>
          <w:p w:rsidR="00F57789" w:rsidRPr="009701FD" w:rsidRDefault="009701FD" w:rsidP="00D0689E">
            <w:pPr>
              <w:jc w:val="both"/>
              <w:rPr>
                <w:rFonts w:cs="Arial"/>
                <w:b/>
                <w:lang w:val="en-GB"/>
              </w:rPr>
            </w:pPr>
            <w:r w:rsidRPr="009701FD">
              <w:rPr>
                <w:rFonts w:cs="Arial"/>
                <w:b/>
                <w:lang w:val="en-GB"/>
              </w:rPr>
              <w:t>13.</w:t>
            </w:r>
            <w:r w:rsidRPr="009701FD">
              <w:rPr>
                <w:rFonts w:cs="Arial"/>
                <w:lang w:val="en-GB"/>
              </w:rPr>
              <w:t xml:space="preserve"> </w:t>
            </w:r>
            <w:r w:rsidRPr="009701FD">
              <w:rPr>
                <w:rFonts w:cs="Arial"/>
                <w:b/>
                <w:lang w:val="en-GB"/>
              </w:rPr>
              <w:t>Which legislation in relation to procurement requirements shall prevail in case there is any contradiction between national legislation and the Programme requirements based on the EU regulations and the Financing Agreement?</w:t>
            </w:r>
          </w:p>
        </w:tc>
      </w:tr>
      <w:tr w:rsidR="00F57789" w:rsidRPr="00A06C79" w:rsidTr="009701FD">
        <w:trPr>
          <w:trHeight w:val="257"/>
        </w:trPr>
        <w:tc>
          <w:tcPr>
            <w:tcW w:w="10144" w:type="dxa"/>
            <w:tcBorders>
              <w:bottom w:val="single" w:sz="4" w:space="0" w:color="auto"/>
            </w:tcBorders>
          </w:tcPr>
          <w:p w:rsidR="00F57789" w:rsidRPr="001B38D5" w:rsidRDefault="009701FD" w:rsidP="00A16A45">
            <w:pPr>
              <w:jc w:val="both"/>
              <w:rPr>
                <w:rFonts w:cs="Arial"/>
                <w:lang w:val="en-GB"/>
              </w:rPr>
            </w:pPr>
            <w:r w:rsidRPr="009701FD">
              <w:rPr>
                <w:rFonts w:cs="Arial"/>
                <w:lang w:val="en-GB"/>
              </w:rPr>
              <w:t>In case of any contradiction, the beneficiaries should apply the Programme requirements based on the EU regulations and the Financing Agreement signed between the EC, the Government of the Russian Federation and the Government of the Republic of Poland.</w:t>
            </w:r>
          </w:p>
        </w:tc>
      </w:tr>
      <w:tr w:rsidR="00F57789" w:rsidRPr="00A06C79" w:rsidTr="009701FD">
        <w:trPr>
          <w:trHeight w:val="322"/>
        </w:trPr>
        <w:tc>
          <w:tcPr>
            <w:tcW w:w="10144" w:type="dxa"/>
            <w:shd w:val="clear" w:color="auto" w:fill="D9D9D9" w:themeFill="background1" w:themeFillShade="D9"/>
          </w:tcPr>
          <w:p w:rsidR="00F57789" w:rsidRPr="009701FD" w:rsidRDefault="009701FD" w:rsidP="00D0689E">
            <w:pPr>
              <w:jc w:val="both"/>
              <w:rPr>
                <w:rFonts w:cs="Arial"/>
                <w:b/>
                <w:lang w:val="en-GB"/>
              </w:rPr>
            </w:pPr>
            <w:r w:rsidRPr="009701FD">
              <w:rPr>
                <w:rFonts w:cs="Arial"/>
                <w:b/>
                <w:lang w:val="en-GB"/>
              </w:rPr>
              <w:t>14.</w:t>
            </w:r>
            <w:r w:rsidRPr="009701FD">
              <w:rPr>
                <w:rFonts w:cs="Arial"/>
                <w:lang w:val="en-GB"/>
              </w:rPr>
              <w:t xml:space="preserve"> </w:t>
            </w:r>
            <w:r w:rsidRPr="009701FD">
              <w:rPr>
                <w:rFonts w:cs="Arial"/>
                <w:b/>
                <w:lang w:val="en-GB"/>
              </w:rPr>
              <w:t>What is the difference between target groups and final beneficiaries?</w:t>
            </w:r>
          </w:p>
        </w:tc>
      </w:tr>
      <w:tr w:rsidR="00F57789" w:rsidRPr="00A06C79" w:rsidTr="009701FD">
        <w:trPr>
          <w:trHeight w:val="257"/>
        </w:trPr>
        <w:tc>
          <w:tcPr>
            <w:tcW w:w="10144" w:type="dxa"/>
            <w:tcBorders>
              <w:bottom w:val="single" w:sz="4" w:space="0" w:color="auto"/>
            </w:tcBorders>
          </w:tcPr>
          <w:p w:rsidR="009701FD" w:rsidRPr="009701FD" w:rsidRDefault="009701FD" w:rsidP="009701FD">
            <w:pPr>
              <w:jc w:val="both"/>
              <w:rPr>
                <w:rFonts w:cs="Arial"/>
                <w:lang w:val="en-GB"/>
              </w:rPr>
            </w:pPr>
            <w:r w:rsidRPr="00821474">
              <w:rPr>
                <w:rFonts w:cs="Arial"/>
                <w:i/>
                <w:lang w:val="en-GB"/>
              </w:rPr>
              <w:t>Target group(s)</w:t>
            </w:r>
            <w:r w:rsidRPr="009701FD">
              <w:rPr>
                <w:rFonts w:cs="Arial"/>
                <w:lang w:val="en-GB"/>
              </w:rPr>
              <w:t xml:space="preserve"> is defined as the individuals, group(s) or entity(</w:t>
            </w:r>
            <w:proofErr w:type="spellStart"/>
            <w:r w:rsidRPr="009701FD">
              <w:rPr>
                <w:rFonts w:cs="Arial"/>
                <w:lang w:val="en-GB"/>
              </w:rPr>
              <w:t>ies</w:t>
            </w:r>
            <w:proofErr w:type="spellEnd"/>
            <w:r w:rsidRPr="009701FD">
              <w:rPr>
                <w:rFonts w:cs="Arial"/>
                <w:lang w:val="en-GB"/>
              </w:rPr>
              <w:t>) who will be directly positively affected by the project at the level of project objective and project outputs. In other words groups/entities that will benefit from project activities realisation. Usually they are recipients/participants of project activities. E.g. school teachers trained about innovative teaching methods involving IT tools; local tourist information organisations better equipped to provide more advanced services. Please note that individuals/entities included in target group are not necessarily receiving a financial grant and not even directly involved in the project as beneficiaries.</w:t>
            </w:r>
          </w:p>
          <w:p w:rsidR="008B3013" w:rsidRDefault="008B3013" w:rsidP="009701FD">
            <w:pPr>
              <w:jc w:val="both"/>
              <w:rPr>
                <w:rFonts w:cs="Arial"/>
                <w:lang w:val="en-GB"/>
              </w:rPr>
            </w:pPr>
          </w:p>
          <w:p w:rsidR="00F57789" w:rsidRPr="001B38D5" w:rsidRDefault="009701FD" w:rsidP="009701FD">
            <w:pPr>
              <w:jc w:val="both"/>
              <w:rPr>
                <w:rFonts w:cs="Arial"/>
                <w:lang w:val="en-GB"/>
              </w:rPr>
            </w:pPr>
            <w:r w:rsidRPr="00821474">
              <w:rPr>
                <w:rFonts w:cs="Arial"/>
                <w:i/>
                <w:lang w:val="en-GB"/>
              </w:rPr>
              <w:t>Final beneficiaries</w:t>
            </w:r>
            <w:r w:rsidRPr="009701FD">
              <w:rPr>
                <w:rFonts w:cs="Arial"/>
                <w:lang w:val="en-GB"/>
              </w:rPr>
              <w:t xml:space="preserve"> are defined as individuals or entities who benefit from the project in the long term at the </w:t>
            </w:r>
            <w:r w:rsidRPr="009701FD">
              <w:rPr>
                <w:rFonts w:cs="Arial"/>
                <w:lang w:val="en-GB"/>
              </w:rPr>
              <w:lastRenderedPageBreak/>
              <w:t>level of the society or sector at large. Usually it is a wider group of people/entities. E.g. schoolchildren benefitting from better education programmes/education, cross-border tourists in the particular area using particular services.</w:t>
            </w:r>
          </w:p>
        </w:tc>
      </w:tr>
      <w:tr w:rsidR="009701FD" w:rsidRPr="00A06C79" w:rsidTr="009701FD">
        <w:trPr>
          <w:trHeight w:val="257"/>
        </w:trPr>
        <w:tc>
          <w:tcPr>
            <w:tcW w:w="10144" w:type="dxa"/>
            <w:shd w:val="clear" w:color="auto" w:fill="D9D9D9" w:themeFill="background1" w:themeFillShade="D9"/>
          </w:tcPr>
          <w:p w:rsidR="009701FD" w:rsidRPr="009701FD" w:rsidRDefault="009701FD" w:rsidP="00D0689E">
            <w:pPr>
              <w:jc w:val="both"/>
              <w:rPr>
                <w:rFonts w:cs="Arial"/>
                <w:b/>
                <w:lang w:val="en-GB"/>
              </w:rPr>
            </w:pPr>
            <w:r w:rsidRPr="009701FD">
              <w:rPr>
                <w:rFonts w:cs="Arial"/>
                <w:b/>
                <w:lang w:val="en-GB"/>
              </w:rPr>
              <w:lastRenderedPageBreak/>
              <w:t>15.</w:t>
            </w:r>
            <w:r w:rsidR="00501B94" w:rsidRPr="00501B94">
              <w:rPr>
                <w:rFonts w:cs="Arial"/>
                <w:lang w:val="en-GB"/>
              </w:rPr>
              <w:t xml:space="preserve"> </w:t>
            </w:r>
            <w:r w:rsidR="00501B94" w:rsidRPr="00501B94">
              <w:rPr>
                <w:rFonts w:cs="Arial"/>
                <w:b/>
                <w:lang w:val="en-GB"/>
              </w:rPr>
              <w:t>During which period preparatory costs and retroactive grant costs should be incurred and paid to be eligible?</w:t>
            </w:r>
          </w:p>
        </w:tc>
      </w:tr>
      <w:tr w:rsidR="009701FD" w:rsidRPr="00A06C79" w:rsidTr="009701FD">
        <w:trPr>
          <w:trHeight w:val="257"/>
        </w:trPr>
        <w:tc>
          <w:tcPr>
            <w:tcW w:w="10144" w:type="dxa"/>
            <w:tcBorders>
              <w:bottom w:val="single" w:sz="4" w:space="0" w:color="auto"/>
            </w:tcBorders>
          </w:tcPr>
          <w:p w:rsidR="00501B94" w:rsidRPr="00501B94" w:rsidRDefault="00501B94" w:rsidP="00501B94">
            <w:pPr>
              <w:jc w:val="both"/>
              <w:rPr>
                <w:rFonts w:cs="Arial"/>
                <w:lang w:val="en-GB"/>
              </w:rPr>
            </w:pPr>
            <w:r w:rsidRPr="00501B94">
              <w:rPr>
                <w:rFonts w:cs="Arial"/>
                <w:lang w:val="en-GB"/>
              </w:rPr>
              <w:t xml:space="preserve">According to the </w:t>
            </w:r>
            <w:r w:rsidR="004C5B2B">
              <w:rPr>
                <w:rFonts w:cs="Arial"/>
                <w:lang w:val="en-GB"/>
              </w:rPr>
              <w:t xml:space="preserve">point 6.2.2 </w:t>
            </w:r>
            <w:r w:rsidRPr="00501B94">
              <w:rPr>
                <w:rFonts w:cs="Arial"/>
                <w:lang w:val="en-GB"/>
              </w:rPr>
              <w:t xml:space="preserve">Programme </w:t>
            </w:r>
            <w:r w:rsidR="009012FA">
              <w:rPr>
                <w:rFonts w:cs="Arial"/>
                <w:lang w:val="en-GB"/>
              </w:rPr>
              <w:t xml:space="preserve">Manual Part I – Applicant </w:t>
            </w:r>
            <w:r w:rsidRPr="00501B94">
              <w:rPr>
                <w:rFonts w:cs="Arial"/>
                <w:lang w:val="en-GB"/>
              </w:rPr>
              <w:t xml:space="preserve"> the grant may be awarded retroactively for the project in cases where costs are related to studies and documentation needed for an infrastructure component and where the applicant can demonstrate the need to start the project before the contract is signed (other costs). Moreover</w:t>
            </w:r>
            <w:r w:rsidR="006618DC">
              <w:rPr>
                <w:rFonts w:cs="Arial"/>
                <w:lang w:val="en-GB"/>
              </w:rPr>
              <w:t>,</w:t>
            </w:r>
            <w:r w:rsidRPr="00501B94">
              <w:rPr>
                <w:rFonts w:cs="Arial"/>
                <w:lang w:val="en-GB"/>
              </w:rPr>
              <w:t xml:space="preserve"> to allow the preparation of strong partnerships the Programme foresees preparatory costs in amount of 5000 EUR.</w:t>
            </w:r>
          </w:p>
          <w:p w:rsidR="008B3013" w:rsidRDefault="008B3013" w:rsidP="00501B94">
            <w:pPr>
              <w:jc w:val="both"/>
              <w:rPr>
                <w:rFonts w:cs="Arial"/>
                <w:lang w:val="en-GB"/>
              </w:rPr>
            </w:pPr>
          </w:p>
          <w:p w:rsidR="00501B94" w:rsidRPr="00501B94" w:rsidRDefault="00501B94" w:rsidP="00501B94">
            <w:pPr>
              <w:jc w:val="both"/>
              <w:rPr>
                <w:rFonts w:cs="Arial"/>
                <w:lang w:val="en-GB"/>
              </w:rPr>
            </w:pPr>
            <w:r w:rsidRPr="00501B94">
              <w:rPr>
                <w:rFonts w:cs="Arial"/>
                <w:lang w:val="en-GB"/>
              </w:rPr>
              <w:t xml:space="preserve">Each type of costs described above has specific eligibility requirements in terms of the period when these costs should be incurred and paid to be considered as eligible. </w:t>
            </w:r>
          </w:p>
          <w:p w:rsidR="008B3013" w:rsidRDefault="008B3013" w:rsidP="00501B94">
            <w:pPr>
              <w:jc w:val="both"/>
              <w:rPr>
                <w:rFonts w:cs="Arial"/>
                <w:lang w:val="en-GB"/>
              </w:rPr>
            </w:pPr>
          </w:p>
          <w:p w:rsidR="00501B94" w:rsidRPr="00501B94" w:rsidRDefault="00501B94" w:rsidP="00501B94">
            <w:pPr>
              <w:jc w:val="both"/>
              <w:rPr>
                <w:rFonts w:cs="Arial"/>
                <w:lang w:val="en-GB"/>
              </w:rPr>
            </w:pPr>
            <w:r w:rsidRPr="00501B94">
              <w:rPr>
                <w:rFonts w:cs="Arial"/>
                <w:lang w:val="en-GB"/>
              </w:rPr>
              <w:t xml:space="preserve">First type is the </w:t>
            </w:r>
            <w:r w:rsidRPr="00821474">
              <w:rPr>
                <w:rFonts w:cs="Arial"/>
                <w:i/>
                <w:lang w:val="en-GB"/>
              </w:rPr>
              <w:t>retroactive grant for the preparation of studies and documentation</w:t>
            </w:r>
            <w:r w:rsidRPr="00501B94">
              <w:rPr>
                <w:rFonts w:cs="Arial"/>
                <w:lang w:val="en-GB"/>
              </w:rPr>
              <w:t xml:space="preserve"> related to an infrastructure component. To be considered eligible these costs should be incurred after 08 December 2016 </w:t>
            </w:r>
            <w:proofErr w:type="spellStart"/>
            <w:r w:rsidRPr="00501B94">
              <w:rPr>
                <w:rFonts w:cs="Arial"/>
                <w:lang w:val="en-GB"/>
              </w:rPr>
              <w:t>i.e</w:t>
            </w:r>
            <w:proofErr w:type="spellEnd"/>
            <w:r w:rsidRPr="00501B94">
              <w:rPr>
                <w:rFonts w:cs="Arial"/>
                <w:lang w:val="en-GB"/>
              </w:rPr>
              <w:t xml:space="preserve"> after the adoption of the Programme by the European Commission – for Polish beneficiaries, and after 01 January 2018 i.e. after signature of the Financing Agreement among the European Commission, the Russian Federation and the Republic of Poland – for Russian beneficiaries. In any case costs of retroactive grant for studies and documentation related to an infrastructure component </w:t>
            </w:r>
            <w:r w:rsidR="006C2AD6" w:rsidRPr="00FB330A">
              <w:rPr>
                <w:rFonts w:cs="Arial"/>
                <w:lang w:val="en-GB"/>
              </w:rPr>
              <w:t xml:space="preserve">shall </w:t>
            </w:r>
            <w:r w:rsidRPr="00FB330A">
              <w:rPr>
                <w:rFonts w:cs="Arial"/>
                <w:lang w:val="en-GB"/>
              </w:rPr>
              <w:t xml:space="preserve">be </w:t>
            </w:r>
            <w:r w:rsidR="006C2AD6" w:rsidRPr="00FB330A">
              <w:rPr>
                <w:rFonts w:cs="Arial"/>
                <w:lang w:val="en-GB"/>
              </w:rPr>
              <w:t>incurred</w:t>
            </w:r>
            <w:r w:rsidRPr="00501B94">
              <w:rPr>
                <w:rFonts w:cs="Arial"/>
                <w:lang w:val="en-GB"/>
              </w:rPr>
              <w:t xml:space="preserve"> before </w:t>
            </w:r>
            <w:r w:rsidR="00821474">
              <w:rPr>
                <w:rFonts w:cs="Arial"/>
                <w:lang w:val="en-GB"/>
              </w:rPr>
              <w:t xml:space="preserve">the </w:t>
            </w:r>
            <w:r w:rsidRPr="00501B94">
              <w:rPr>
                <w:rFonts w:cs="Arial"/>
                <w:lang w:val="en-GB"/>
              </w:rPr>
              <w:t>submission of the application form and paid before the start of project implementation period.</w:t>
            </w:r>
          </w:p>
          <w:p w:rsidR="008B3013" w:rsidRDefault="008B3013" w:rsidP="00501B94">
            <w:pPr>
              <w:jc w:val="both"/>
              <w:rPr>
                <w:rFonts w:cs="Arial"/>
                <w:lang w:val="en-GB"/>
              </w:rPr>
            </w:pPr>
          </w:p>
          <w:p w:rsidR="00501B94" w:rsidRPr="00501B94" w:rsidRDefault="00501B94" w:rsidP="00501B94">
            <w:pPr>
              <w:jc w:val="both"/>
              <w:rPr>
                <w:rFonts w:cs="Arial"/>
                <w:lang w:val="en-GB"/>
              </w:rPr>
            </w:pPr>
            <w:r w:rsidRPr="00501B94">
              <w:rPr>
                <w:rFonts w:cs="Arial"/>
                <w:lang w:val="en-GB"/>
              </w:rPr>
              <w:t xml:space="preserve">Another type of grant that may be </w:t>
            </w:r>
            <w:r w:rsidRPr="00821474">
              <w:rPr>
                <w:rFonts w:cs="Arial"/>
                <w:i/>
                <w:lang w:val="en-GB"/>
              </w:rPr>
              <w:t>awarded retroactively (other costs)</w:t>
            </w:r>
            <w:r w:rsidRPr="00501B94">
              <w:rPr>
                <w:rFonts w:cs="Arial"/>
                <w:lang w:val="en-GB"/>
              </w:rPr>
              <w:t xml:space="preserve"> in case the beneficiary can demonstrate the need to start the project before the signature of the grant contract. It shall not have been incurred prior to the date of submission of the application form by the project. These costs should be incurred after submission of the application form and could be paid during the implementation period of the project.</w:t>
            </w:r>
          </w:p>
          <w:p w:rsidR="00821474" w:rsidRDefault="00821474" w:rsidP="00501B94">
            <w:pPr>
              <w:jc w:val="both"/>
              <w:rPr>
                <w:rFonts w:cs="Arial"/>
                <w:lang w:val="en-GB"/>
              </w:rPr>
            </w:pPr>
          </w:p>
          <w:p w:rsidR="00501B94" w:rsidRPr="00501B94" w:rsidRDefault="00501B94" w:rsidP="00501B94">
            <w:pPr>
              <w:jc w:val="both"/>
              <w:rPr>
                <w:rFonts w:cs="Arial"/>
                <w:lang w:val="en-GB"/>
              </w:rPr>
            </w:pPr>
            <w:r w:rsidRPr="00821474">
              <w:rPr>
                <w:rFonts w:cs="Arial"/>
                <w:i/>
                <w:lang w:val="en-GB"/>
              </w:rPr>
              <w:t>Costs for preparation of the strong partnership</w:t>
            </w:r>
            <w:r w:rsidRPr="00501B94">
              <w:rPr>
                <w:rFonts w:cs="Arial"/>
                <w:lang w:val="en-GB"/>
              </w:rPr>
              <w:t xml:space="preserve"> shall be both incurred and paid after the start of the 1st call for Proposals (i.e. 16 April 2018) and before the submission of the application form by the project. </w:t>
            </w:r>
          </w:p>
          <w:p w:rsidR="008B3013" w:rsidRDefault="008B3013" w:rsidP="00501B94">
            <w:pPr>
              <w:jc w:val="both"/>
              <w:rPr>
                <w:rFonts w:cs="Arial"/>
                <w:lang w:val="en-GB"/>
              </w:rPr>
            </w:pPr>
          </w:p>
          <w:p w:rsidR="009701FD" w:rsidRDefault="00501B94" w:rsidP="00501B94">
            <w:pPr>
              <w:jc w:val="both"/>
              <w:rPr>
                <w:rFonts w:cs="Arial"/>
                <w:lang w:val="en-GB"/>
              </w:rPr>
            </w:pPr>
            <w:r w:rsidRPr="00821474">
              <w:rPr>
                <w:rFonts w:cs="Arial"/>
                <w:i/>
                <w:lang w:val="en-GB"/>
              </w:rPr>
              <w:t>Note!</w:t>
            </w:r>
            <w:r w:rsidRPr="00501B94">
              <w:rPr>
                <w:rFonts w:cs="Arial"/>
                <w:lang w:val="en-GB"/>
              </w:rPr>
              <w:t xml:space="preserve"> No grant may be awarded retroactively for projects already completed.</w:t>
            </w:r>
          </w:p>
          <w:p w:rsidR="00821474" w:rsidRPr="001B38D5" w:rsidRDefault="00821474" w:rsidP="00501B94">
            <w:pPr>
              <w:jc w:val="both"/>
              <w:rPr>
                <w:rFonts w:cs="Arial"/>
                <w:lang w:val="en-GB"/>
              </w:rPr>
            </w:pPr>
          </w:p>
        </w:tc>
      </w:tr>
      <w:tr w:rsidR="009701FD" w:rsidRPr="00A06C79" w:rsidTr="001A33DB">
        <w:trPr>
          <w:trHeight w:val="404"/>
        </w:trPr>
        <w:tc>
          <w:tcPr>
            <w:tcW w:w="10144" w:type="dxa"/>
            <w:shd w:val="clear" w:color="auto" w:fill="D9D9D9" w:themeFill="background1" w:themeFillShade="D9"/>
          </w:tcPr>
          <w:p w:rsidR="009701FD" w:rsidRPr="009701FD" w:rsidRDefault="009701FD" w:rsidP="00D0689E">
            <w:pPr>
              <w:jc w:val="both"/>
              <w:rPr>
                <w:rFonts w:cs="Arial"/>
                <w:b/>
                <w:lang w:val="en-GB"/>
              </w:rPr>
            </w:pPr>
            <w:r w:rsidRPr="009701FD">
              <w:rPr>
                <w:rFonts w:cs="Arial"/>
                <w:b/>
                <w:lang w:val="en-GB"/>
              </w:rPr>
              <w:t>16.</w:t>
            </w:r>
            <w:r w:rsidR="001A33DB" w:rsidRPr="001A33DB">
              <w:rPr>
                <w:rFonts w:cs="Arial"/>
                <w:lang w:val="en-GB"/>
              </w:rPr>
              <w:t xml:space="preserve"> </w:t>
            </w:r>
            <w:r w:rsidR="001A33DB" w:rsidRPr="001A33DB">
              <w:rPr>
                <w:rFonts w:cs="Arial"/>
                <w:b/>
                <w:lang w:val="en-GB"/>
              </w:rPr>
              <w:t>How is the 7% of the administrative costs for the project allocated among project beneficiaries?</w:t>
            </w:r>
          </w:p>
        </w:tc>
      </w:tr>
      <w:tr w:rsidR="009701FD" w:rsidRPr="00A06C79" w:rsidTr="001A33DB">
        <w:trPr>
          <w:trHeight w:val="707"/>
        </w:trPr>
        <w:tc>
          <w:tcPr>
            <w:tcW w:w="10144" w:type="dxa"/>
            <w:tcBorders>
              <w:bottom w:val="single" w:sz="4" w:space="0" w:color="auto"/>
            </w:tcBorders>
          </w:tcPr>
          <w:p w:rsidR="009701FD" w:rsidRPr="001B38D5" w:rsidRDefault="001A33DB" w:rsidP="001A33DB">
            <w:pPr>
              <w:jc w:val="both"/>
              <w:rPr>
                <w:rFonts w:cs="Arial"/>
                <w:lang w:val="en-GB"/>
              </w:rPr>
            </w:pPr>
            <w:r w:rsidRPr="001A33DB">
              <w:rPr>
                <w:rFonts w:cs="Arial"/>
                <w:lang w:val="en-GB"/>
              </w:rPr>
              <w:t>The 7% of the administrative costs are calculated on the basis of individual budget amount</w:t>
            </w:r>
            <w:r w:rsidR="00821474">
              <w:rPr>
                <w:rFonts w:cs="Arial"/>
                <w:lang w:val="en-GB"/>
              </w:rPr>
              <w:t>s</w:t>
            </w:r>
            <w:r w:rsidRPr="001A33DB">
              <w:rPr>
                <w:rFonts w:cs="Arial"/>
                <w:lang w:val="en-GB"/>
              </w:rPr>
              <w:t xml:space="preserve"> of each project beneficiary  (7% of eligible direct costs, excluding costs related to an infrastructure component).</w:t>
            </w:r>
          </w:p>
        </w:tc>
      </w:tr>
      <w:tr w:rsidR="009701FD" w:rsidRPr="00047CB8" w:rsidTr="009701FD">
        <w:trPr>
          <w:trHeight w:val="257"/>
        </w:trPr>
        <w:tc>
          <w:tcPr>
            <w:tcW w:w="10144" w:type="dxa"/>
            <w:shd w:val="clear" w:color="auto" w:fill="D9D9D9" w:themeFill="background1" w:themeFillShade="D9"/>
          </w:tcPr>
          <w:p w:rsidR="008B3013" w:rsidRPr="008B3013" w:rsidRDefault="009701FD" w:rsidP="008B3013">
            <w:pPr>
              <w:rPr>
                <w:b/>
                <w:lang w:val="en-GB"/>
              </w:rPr>
            </w:pPr>
            <w:r w:rsidRPr="009701FD">
              <w:rPr>
                <w:rFonts w:cs="Arial"/>
                <w:b/>
                <w:lang w:val="en-GB"/>
              </w:rPr>
              <w:t>17.</w:t>
            </w:r>
            <w:r w:rsidR="008B3013" w:rsidRPr="009E13C5">
              <w:rPr>
                <w:b/>
                <w:sz w:val="20"/>
                <w:szCs w:val="20"/>
                <w:lang w:val="en-GB"/>
              </w:rPr>
              <w:t xml:space="preserve"> </w:t>
            </w:r>
            <w:r w:rsidR="008B3013" w:rsidRPr="008B3013">
              <w:rPr>
                <w:b/>
                <w:lang w:val="en-GB"/>
              </w:rPr>
              <w:t>Can the beneficiary subcontract (e.g. on a basis of civil law contract) its employees for implementation of project activities (e.g. researches, publications etc.) and put the cost in the budget heading 1. Staff costs or budget heading 4. Services?</w:t>
            </w:r>
          </w:p>
          <w:p w:rsidR="009701FD" w:rsidRPr="009701FD" w:rsidRDefault="009701FD" w:rsidP="00D0689E">
            <w:pPr>
              <w:jc w:val="both"/>
              <w:rPr>
                <w:rFonts w:cs="Arial"/>
                <w:b/>
                <w:lang w:val="en-GB"/>
              </w:rPr>
            </w:pPr>
          </w:p>
        </w:tc>
      </w:tr>
      <w:tr w:rsidR="009701FD" w:rsidRPr="00A06C79" w:rsidTr="009701FD">
        <w:trPr>
          <w:trHeight w:val="257"/>
        </w:trPr>
        <w:tc>
          <w:tcPr>
            <w:tcW w:w="10144" w:type="dxa"/>
            <w:tcBorders>
              <w:bottom w:val="single" w:sz="4" w:space="0" w:color="auto"/>
            </w:tcBorders>
          </w:tcPr>
          <w:p w:rsidR="001A33DB" w:rsidRPr="008B3013" w:rsidRDefault="001A33DB" w:rsidP="001A33DB">
            <w:pPr>
              <w:jc w:val="both"/>
              <w:rPr>
                <w:lang w:val="en-US"/>
              </w:rPr>
            </w:pPr>
            <w:r w:rsidRPr="008B3013">
              <w:rPr>
                <w:lang w:val="en-GB"/>
              </w:rPr>
              <w:t xml:space="preserve">As a rule Lead beneficiary/beneficiary is not allowed to subcontract staff member of its own organization or staff member of other beneficiary, or other beneficiary (legal body) as service provider. </w:t>
            </w:r>
            <w:r w:rsidRPr="008B3013">
              <w:rPr>
                <w:lang w:val="en-US"/>
              </w:rPr>
              <w:t xml:space="preserve">The only possible exception is the performance of a specific work based on a contract for specific task. </w:t>
            </w:r>
            <w:r w:rsidRPr="008B3013">
              <w:rPr>
                <w:lang w:val="en-GB"/>
              </w:rPr>
              <w:t xml:space="preserve">Please note that according to the Programme rules defined in the Programme Manual Part I – Applicant service costs are subject to applicable public procurement rules and each lead beneficiary/beneficiary is responsible for ensuring that these rules have been respected. Even </w:t>
            </w:r>
            <w:r w:rsidRPr="009604C1">
              <w:rPr>
                <w:lang w:val="en-GB"/>
              </w:rPr>
              <w:t xml:space="preserve">below </w:t>
            </w:r>
            <w:r w:rsidR="006C2AD6" w:rsidRPr="009604C1">
              <w:rPr>
                <w:lang w:val="en-GB"/>
              </w:rPr>
              <w:t>EU thresholds,</w:t>
            </w:r>
            <w:r w:rsidRPr="008B3013">
              <w:rPr>
                <w:lang w:val="en-GB"/>
              </w:rPr>
              <w:t xml:space="preserve"> signing contracts must comply with the principles of transparency, non-discrimination, equal treatment, cost efficiency and effective competition.</w:t>
            </w:r>
          </w:p>
          <w:p w:rsidR="009701FD" w:rsidRPr="001A33DB" w:rsidRDefault="009701FD" w:rsidP="00D0689E">
            <w:pPr>
              <w:jc w:val="both"/>
              <w:rPr>
                <w:rFonts w:cs="Arial"/>
                <w:lang w:val="en-US"/>
              </w:rPr>
            </w:pPr>
          </w:p>
        </w:tc>
      </w:tr>
      <w:tr w:rsidR="009701FD" w:rsidRPr="001B38D5" w:rsidTr="009701FD">
        <w:trPr>
          <w:trHeight w:val="257"/>
        </w:trPr>
        <w:tc>
          <w:tcPr>
            <w:tcW w:w="10144" w:type="dxa"/>
            <w:shd w:val="clear" w:color="auto" w:fill="D9D9D9" w:themeFill="background1" w:themeFillShade="D9"/>
          </w:tcPr>
          <w:p w:rsidR="008B3013" w:rsidRPr="008B3013" w:rsidRDefault="009701FD" w:rsidP="008B3013">
            <w:pPr>
              <w:rPr>
                <w:b/>
                <w:lang w:val="en-GB"/>
              </w:rPr>
            </w:pPr>
            <w:r w:rsidRPr="009604C1">
              <w:rPr>
                <w:rFonts w:cs="Arial"/>
                <w:b/>
                <w:lang w:val="en-GB"/>
              </w:rPr>
              <w:lastRenderedPageBreak/>
              <w:t>18.</w:t>
            </w:r>
            <w:r w:rsidR="008B3013" w:rsidRPr="00703A79">
              <w:rPr>
                <w:b/>
                <w:sz w:val="20"/>
                <w:szCs w:val="20"/>
                <w:lang w:val="en-GB"/>
              </w:rPr>
              <w:t xml:space="preserve"> </w:t>
            </w:r>
            <w:r w:rsidR="008B3013" w:rsidRPr="008B3013">
              <w:rPr>
                <w:b/>
                <w:lang w:val="en-GB"/>
              </w:rPr>
              <w:t>What contracts are assumed by the other than labour contracts in the Budget heading 1. Staff costs?</w:t>
            </w:r>
          </w:p>
          <w:p w:rsidR="009701FD" w:rsidRPr="009701FD" w:rsidRDefault="009701FD" w:rsidP="00D0689E">
            <w:pPr>
              <w:jc w:val="both"/>
              <w:rPr>
                <w:rFonts w:cs="Arial"/>
                <w:b/>
                <w:lang w:val="en-GB"/>
              </w:rPr>
            </w:pPr>
          </w:p>
        </w:tc>
      </w:tr>
      <w:tr w:rsidR="009701FD" w:rsidRPr="001B38D5" w:rsidTr="008B3013">
        <w:trPr>
          <w:trHeight w:val="257"/>
        </w:trPr>
        <w:tc>
          <w:tcPr>
            <w:tcW w:w="10144" w:type="dxa"/>
            <w:tcBorders>
              <w:bottom w:val="single" w:sz="4" w:space="0" w:color="auto"/>
            </w:tcBorders>
          </w:tcPr>
          <w:p w:rsidR="009701FD" w:rsidRDefault="008B3013" w:rsidP="00D0689E">
            <w:pPr>
              <w:jc w:val="both"/>
              <w:rPr>
                <w:lang w:val="en-GB"/>
              </w:rPr>
            </w:pPr>
            <w:r w:rsidRPr="008B3013">
              <w:rPr>
                <w:lang w:val="en-GB"/>
              </w:rPr>
              <w:t xml:space="preserve">As a rule the beneficiaries are allowed to employ new personnel (physical persons without legal personality) particularly for the project implementation </w:t>
            </w:r>
            <w:r w:rsidR="00791F20">
              <w:rPr>
                <w:lang w:val="en-GB"/>
              </w:rPr>
              <w:t xml:space="preserve">purpose </w:t>
            </w:r>
            <w:r w:rsidRPr="008B3013">
              <w:rPr>
                <w:lang w:val="en-GB"/>
              </w:rPr>
              <w:t>and solely for the project implementation period under the labour contracts or contracts other than labour contracts (e.g. civil law contracts or other agreements applicable in accordance with national legislation). Thus, if the beneficiary employs a physical person without legal personality for the project management purpose (ensuring that that the applicable public procurement rules were respected) under the civil law contract, the cost could be placed to the Budget heading 1. Staff costs. If the beneficiary concludes the civil law agreement with legal entity the costs should be placed to the Budget heading 4. Services.</w:t>
            </w:r>
          </w:p>
          <w:p w:rsidR="008B3013" w:rsidRPr="008B3013" w:rsidRDefault="008B3013" w:rsidP="00D0689E">
            <w:pPr>
              <w:jc w:val="both"/>
              <w:rPr>
                <w:lang w:val="en-GB"/>
              </w:rPr>
            </w:pPr>
          </w:p>
        </w:tc>
      </w:tr>
      <w:tr w:rsidR="00976442" w:rsidRPr="00A06C79" w:rsidTr="008B3013">
        <w:trPr>
          <w:trHeight w:val="257"/>
        </w:trPr>
        <w:tc>
          <w:tcPr>
            <w:tcW w:w="10144" w:type="dxa"/>
            <w:shd w:val="clear" w:color="auto" w:fill="D9D9D9" w:themeFill="background1" w:themeFillShade="D9"/>
          </w:tcPr>
          <w:p w:rsidR="00976442" w:rsidRPr="009604C1" w:rsidRDefault="00861C3F" w:rsidP="00A06C79">
            <w:pPr>
              <w:jc w:val="both"/>
              <w:rPr>
                <w:rFonts w:cs="Arial"/>
                <w:b/>
                <w:lang w:val="en-GB"/>
              </w:rPr>
            </w:pPr>
            <w:r>
              <w:rPr>
                <w:rFonts w:cs="Arial"/>
                <w:b/>
                <w:lang w:val="en-GB"/>
              </w:rPr>
              <w:t>19</w:t>
            </w:r>
            <w:r w:rsidR="00976442">
              <w:rPr>
                <w:rFonts w:cs="Arial"/>
                <w:b/>
                <w:lang w:val="en-GB"/>
              </w:rPr>
              <w:t xml:space="preserve">. </w:t>
            </w:r>
            <w:r w:rsidR="00976442" w:rsidRPr="00976442">
              <w:rPr>
                <w:rFonts w:cs="Arial"/>
                <w:b/>
                <w:lang w:val="en-GB"/>
              </w:rPr>
              <w:t xml:space="preserve">If, according to national legislation, polish beneficiary is not obliged to obtain </w:t>
            </w:r>
            <w:proofErr w:type="spellStart"/>
            <w:r w:rsidR="00976442" w:rsidRPr="00976442">
              <w:rPr>
                <w:rFonts w:cs="Arial"/>
                <w:b/>
                <w:i/>
                <w:lang w:val="en-GB"/>
              </w:rPr>
              <w:t>Decyzja</w:t>
            </w:r>
            <w:proofErr w:type="spellEnd"/>
            <w:r w:rsidR="00976442" w:rsidRPr="00976442">
              <w:rPr>
                <w:rFonts w:cs="Arial"/>
                <w:b/>
                <w:i/>
                <w:lang w:val="en-GB"/>
              </w:rPr>
              <w:t xml:space="preserve"> o </w:t>
            </w:r>
            <w:proofErr w:type="spellStart"/>
            <w:r w:rsidR="00976442" w:rsidRPr="00976442">
              <w:rPr>
                <w:rFonts w:cs="Arial"/>
                <w:b/>
                <w:i/>
                <w:lang w:val="en-GB"/>
              </w:rPr>
              <w:t>środowiskowych</w:t>
            </w:r>
            <w:proofErr w:type="spellEnd"/>
            <w:r w:rsidR="00976442" w:rsidRPr="00976442">
              <w:rPr>
                <w:rFonts w:cs="Arial"/>
                <w:b/>
                <w:i/>
                <w:lang w:val="en-GB"/>
              </w:rPr>
              <w:t xml:space="preserve"> </w:t>
            </w:r>
            <w:proofErr w:type="spellStart"/>
            <w:r w:rsidR="00976442" w:rsidRPr="00976442">
              <w:rPr>
                <w:rFonts w:cs="Arial"/>
                <w:b/>
                <w:i/>
                <w:lang w:val="en-GB"/>
              </w:rPr>
              <w:t>uwarunkowaniach</w:t>
            </w:r>
            <w:proofErr w:type="spellEnd"/>
            <w:r w:rsidR="00976442" w:rsidRPr="00976442">
              <w:rPr>
                <w:rFonts w:cs="Arial"/>
                <w:b/>
                <w:i/>
                <w:lang w:val="en-GB"/>
              </w:rPr>
              <w:t xml:space="preserve"> </w:t>
            </w:r>
            <w:proofErr w:type="spellStart"/>
            <w:r w:rsidR="00976442" w:rsidRPr="00976442">
              <w:rPr>
                <w:rFonts w:cs="Arial"/>
                <w:b/>
                <w:i/>
                <w:lang w:val="en-GB"/>
              </w:rPr>
              <w:t>zgody</w:t>
            </w:r>
            <w:proofErr w:type="spellEnd"/>
            <w:r w:rsidR="00976442" w:rsidRPr="00976442">
              <w:rPr>
                <w:rFonts w:cs="Arial"/>
                <w:b/>
                <w:i/>
                <w:lang w:val="en-GB"/>
              </w:rPr>
              <w:t xml:space="preserve"> </w:t>
            </w:r>
            <w:proofErr w:type="spellStart"/>
            <w:r w:rsidR="00976442" w:rsidRPr="00976442">
              <w:rPr>
                <w:rFonts w:cs="Arial"/>
                <w:b/>
                <w:i/>
                <w:lang w:val="en-GB"/>
              </w:rPr>
              <w:t>na</w:t>
            </w:r>
            <w:proofErr w:type="spellEnd"/>
            <w:r w:rsidR="00976442" w:rsidRPr="00976442">
              <w:rPr>
                <w:rFonts w:cs="Arial"/>
                <w:b/>
                <w:i/>
                <w:lang w:val="en-GB"/>
              </w:rPr>
              <w:t xml:space="preserve"> </w:t>
            </w:r>
            <w:proofErr w:type="spellStart"/>
            <w:r w:rsidR="00976442" w:rsidRPr="00976442">
              <w:rPr>
                <w:rFonts w:cs="Arial"/>
                <w:b/>
                <w:i/>
                <w:lang w:val="en-GB"/>
              </w:rPr>
              <w:t>realizację</w:t>
            </w:r>
            <w:proofErr w:type="spellEnd"/>
            <w:r w:rsidR="00976442" w:rsidRPr="00976442">
              <w:rPr>
                <w:rFonts w:cs="Arial"/>
                <w:b/>
                <w:i/>
                <w:lang w:val="en-GB"/>
              </w:rPr>
              <w:t xml:space="preserve"> </w:t>
            </w:r>
            <w:proofErr w:type="spellStart"/>
            <w:r w:rsidR="00976442" w:rsidRPr="00976442">
              <w:rPr>
                <w:rFonts w:cs="Arial"/>
                <w:b/>
                <w:i/>
                <w:lang w:val="en-GB"/>
              </w:rPr>
              <w:t>przedsięwzięcia</w:t>
            </w:r>
            <w:proofErr w:type="spellEnd"/>
            <w:r w:rsidR="00976442" w:rsidRPr="00976442">
              <w:rPr>
                <w:rFonts w:cs="Arial"/>
                <w:b/>
                <w:i/>
                <w:lang w:val="en-GB"/>
              </w:rPr>
              <w:t xml:space="preserve"> </w:t>
            </w:r>
            <w:r w:rsidR="00976442" w:rsidRPr="00976442">
              <w:rPr>
                <w:rFonts w:cs="Arial"/>
                <w:b/>
                <w:lang w:val="en-GB"/>
              </w:rPr>
              <w:t xml:space="preserve">should we provide, together with AF, a letter from relevant institution confirming this information? In many cases these institutions don’t respond to such </w:t>
            </w:r>
            <w:r w:rsidR="00A06C79">
              <w:rPr>
                <w:rFonts w:cs="Arial"/>
                <w:b/>
                <w:lang w:val="en-GB"/>
              </w:rPr>
              <w:t>q</w:t>
            </w:r>
            <w:r w:rsidR="00976442" w:rsidRPr="00976442">
              <w:rPr>
                <w:rFonts w:cs="Arial"/>
                <w:b/>
                <w:lang w:val="en-GB"/>
              </w:rPr>
              <w:t>uestions. The only solution to receive a written statement from an authority is unnecessary preparation of an application for issuing an environmental decision. Would it be possible that beneficiary provide a self-declaration?</w:t>
            </w:r>
          </w:p>
        </w:tc>
      </w:tr>
      <w:tr w:rsidR="008B3013" w:rsidRPr="00A06C79" w:rsidTr="008B3013">
        <w:trPr>
          <w:trHeight w:val="257"/>
        </w:trPr>
        <w:tc>
          <w:tcPr>
            <w:tcW w:w="10144" w:type="dxa"/>
            <w:tcBorders>
              <w:bottom w:val="single" w:sz="4" w:space="0" w:color="auto"/>
            </w:tcBorders>
          </w:tcPr>
          <w:p w:rsidR="00976442" w:rsidRDefault="00976442" w:rsidP="00976442">
            <w:pPr>
              <w:jc w:val="both"/>
              <w:rPr>
                <w:rFonts w:cs="Arial"/>
                <w:lang w:val="en-US"/>
              </w:rPr>
            </w:pPr>
            <w:r w:rsidRPr="00976442">
              <w:rPr>
                <w:rFonts w:cs="Arial"/>
                <w:lang w:val="en-US"/>
              </w:rPr>
              <w:t>We kindly inform that in order to streamline the project evaluation and selection process, the requirements for submission of Annex A12 have been simplified:</w:t>
            </w:r>
          </w:p>
          <w:p w:rsidR="00976442" w:rsidRPr="00976442" w:rsidRDefault="00976442" w:rsidP="00976442">
            <w:pPr>
              <w:jc w:val="both"/>
              <w:rPr>
                <w:rFonts w:cs="Arial"/>
                <w:lang w:val="en-US"/>
              </w:rPr>
            </w:pPr>
          </w:p>
          <w:p w:rsidR="008B3013" w:rsidRPr="00976442" w:rsidRDefault="00976442" w:rsidP="00976442">
            <w:pPr>
              <w:jc w:val="both"/>
              <w:rPr>
                <w:rFonts w:cs="Arial"/>
                <w:lang w:val="en-US"/>
              </w:rPr>
            </w:pPr>
            <w:r>
              <w:rPr>
                <w:rFonts w:cs="Arial"/>
                <w:lang w:val="en-US"/>
              </w:rPr>
              <w:t xml:space="preserve">• </w:t>
            </w:r>
            <w:r w:rsidRPr="00976442">
              <w:rPr>
                <w:rFonts w:cs="Arial"/>
                <w:lang w:val="en-US"/>
              </w:rPr>
              <w:t>Polish infrastructure project applicants - in case of construction works not being the subject of the obligatory environmental assessment a self-declaration of the beneficiary with the reference to the applicable law should be submitted or a statement issued by relevant institution.</w:t>
            </w:r>
          </w:p>
        </w:tc>
      </w:tr>
    </w:tbl>
    <w:p w:rsidR="000164E8" w:rsidRPr="001B38D5" w:rsidRDefault="000164E8" w:rsidP="001B38D5">
      <w:pPr>
        <w:jc w:val="both"/>
        <w:rPr>
          <w:b/>
          <w:lang w:val="en-GB"/>
        </w:rPr>
      </w:pPr>
    </w:p>
    <w:sectPr w:rsidR="000164E8" w:rsidRPr="001B38D5" w:rsidSect="00A404A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7C" w:rsidRDefault="005F7B7C" w:rsidP="000164E8">
      <w:pPr>
        <w:spacing w:after="0" w:line="240" w:lineRule="auto"/>
      </w:pPr>
      <w:r>
        <w:separator/>
      </w:r>
    </w:p>
  </w:endnote>
  <w:endnote w:type="continuationSeparator" w:id="0">
    <w:p w:rsidR="005F7B7C" w:rsidRDefault="005F7B7C" w:rsidP="000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5860"/>
      <w:docPartObj>
        <w:docPartGallery w:val="Page Numbers (Bottom of Page)"/>
        <w:docPartUnique/>
      </w:docPartObj>
    </w:sdtPr>
    <w:sdtContent>
      <w:p w:rsidR="001A33DB" w:rsidRDefault="0033019D">
        <w:pPr>
          <w:pStyle w:val="Stopka"/>
          <w:jc w:val="right"/>
        </w:pPr>
        <w:r>
          <w:fldChar w:fldCharType="begin"/>
        </w:r>
        <w:r w:rsidR="00746F6A">
          <w:instrText xml:space="preserve"> PAGE   \* MERGEFORMAT </w:instrText>
        </w:r>
        <w:r>
          <w:fldChar w:fldCharType="separate"/>
        </w:r>
        <w:r w:rsidR="00A06C79">
          <w:rPr>
            <w:noProof/>
          </w:rPr>
          <w:t>5</w:t>
        </w:r>
        <w:r>
          <w:rPr>
            <w:noProof/>
          </w:rPr>
          <w:fldChar w:fldCharType="end"/>
        </w:r>
      </w:p>
    </w:sdtContent>
  </w:sdt>
  <w:p w:rsidR="001A33DB" w:rsidRDefault="001A33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7C" w:rsidRDefault="005F7B7C" w:rsidP="000164E8">
      <w:pPr>
        <w:spacing w:after="0" w:line="240" w:lineRule="auto"/>
      </w:pPr>
      <w:r>
        <w:separator/>
      </w:r>
    </w:p>
  </w:footnote>
  <w:footnote w:type="continuationSeparator" w:id="0">
    <w:p w:rsidR="005F7B7C" w:rsidRDefault="005F7B7C" w:rsidP="000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DB" w:rsidRDefault="001A33DB" w:rsidP="00A404A7">
    <w:pPr>
      <w:rPr>
        <w:b/>
        <w:color w:val="548DD4" w:themeColor="text2" w:themeTint="99"/>
        <w:sz w:val="28"/>
        <w:szCs w:val="28"/>
      </w:rPr>
    </w:pPr>
    <w:r w:rsidRPr="000164E8">
      <w:rPr>
        <w:noProof/>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689283"/>
                  </a:xfrm>
                  <a:prstGeom prst="rect">
                    <a:avLst/>
                  </a:prstGeom>
                  <a:noFill/>
                  <a:ln>
                    <a:noFill/>
                  </a:ln>
                </pic:spPr>
              </pic:pic>
            </a:graphicData>
          </a:graphic>
        </wp:inline>
      </w:drawing>
    </w:r>
    <w:r>
      <w:t xml:space="preserve">     </w:t>
    </w:r>
    <w:r w:rsidRPr="00335AEE">
      <w:rPr>
        <w:b/>
        <w:sz w:val="28"/>
        <w:szCs w:val="28"/>
      </w:rPr>
      <w:t xml:space="preserve">QUESTIONS &amp; ANSWERS </w:t>
    </w:r>
    <w:r w:rsidR="000C1315">
      <w:rPr>
        <w:b/>
        <w:color w:val="548DD4" w:themeColor="text2" w:themeTint="99"/>
        <w:sz w:val="28"/>
        <w:szCs w:val="28"/>
      </w:rPr>
      <w:t>28</w:t>
    </w:r>
    <w:r w:rsidRPr="00335AEE">
      <w:rPr>
        <w:b/>
        <w:color w:val="548DD4" w:themeColor="text2" w:themeTint="99"/>
        <w:sz w:val="28"/>
        <w:szCs w:val="28"/>
      </w:rPr>
      <w:t xml:space="preserve"> </w:t>
    </w:r>
    <w:r>
      <w:rPr>
        <w:b/>
        <w:color w:val="548DD4" w:themeColor="text2" w:themeTint="99"/>
        <w:sz w:val="28"/>
        <w:szCs w:val="28"/>
      </w:rPr>
      <w:t>May</w:t>
    </w:r>
    <w:r w:rsidRPr="00335AEE">
      <w:rPr>
        <w:b/>
        <w:color w:val="548DD4" w:themeColor="text2" w:themeTint="99"/>
        <w:sz w:val="28"/>
        <w:szCs w:val="28"/>
      </w:rPr>
      <w:t xml:space="preserve"> 201</w:t>
    </w:r>
    <w:r>
      <w:rPr>
        <w:b/>
        <w:color w:val="548DD4" w:themeColor="text2" w:themeTint="99"/>
        <w:sz w:val="28"/>
        <w:szCs w:val="28"/>
      </w:rPr>
      <w:t>8</w:t>
    </w:r>
  </w:p>
  <w:p w:rsidR="001A33DB" w:rsidRPr="00A404A7" w:rsidRDefault="001A33DB" w:rsidP="00A404A7">
    <w:pP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00"/>
    <w:multiLevelType w:val="hybridMultilevel"/>
    <w:tmpl w:val="63A2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942EAD"/>
    <w:multiLevelType w:val="hybridMultilevel"/>
    <w:tmpl w:val="E2543070"/>
    <w:lvl w:ilvl="0" w:tplc="0415000F">
      <w:start w:val="1"/>
      <w:numFmt w:val="decimal"/>
      <w:lvlText w:val="%1."/>
      <w:lvlJc w:val="left"/>
      <w:pPr>
        <w:ind w:left="1788" w:hanging="360"/>
      </w:pPr>
      <w:rPr>
        <w:rFonts w:cs="Times New Roman"/>
      </w:rPr>
    </w:lvl>
    <w:lvl w:ilvl="1" w:tplc="04150019">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2">
    <w:nsid w:val="296C5CC7"/>
    <w:multiLevelType w:val="hybridMultilevel"/>
    <w:tmpl w:val="4D8C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FE2E3A"/>
    <w:multiLevelType w:val="hybridMultilevel"/>
    <w:tmpl w:val="91E8F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E15DBF"/>
    <w:multiLevelType w:val="hybridMultilevel"/>
    <w:tmpl w:val="CDBC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05271B"/>
    <w:multiLevelType w:val="hybridMultilevel"/>
    <w:tmpl w:val="D1A4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72DA3"/>
    <w:multiLevelType w:val="hybridMultilevel"/>
    <w:tmpl w:val="D6DAF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BE7ADB"/>
    <w:multiLevelType w:val="hybridMultilevel"/>
    <w:tmpl w:val="770C87C2"/>
    <w:lvl w:ilvl="0" w:tplc="6E8ED6D0">
      <w:start w:val="6"/>
      <w:numFmt w:val="bullet"/>
      <w:lvlText w:val="-"/>
      <w:lvlJc w:val="left"/>
      <w:pPr>
        <w:ind w:left="720" w:hanging="360"/>
      </w:pPr>
      <w:rPr>
        <w:rFonts w:ascii="Calibri" w:eastAsiaTheme="minorEastAsia"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67243A"/>
    <w:multiLevelType w:val="hybridMultilevel"/>
    <w:tmpl w:val="3D66EBC0"/>
    <w:lvl w:ilvl="0" w:tplc="8352812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750070"/>
    <w:multiLevelType w:val="hybridMultilevel"/>
    <w:tmpl w:val="2C7CD57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0">
    <w:nsid w:val="617C2232"/>
    <w:multiLevelType w:val="hybridMultilevel"/>
    <w:tmpl w:val="CBF4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970CE8"/>
    <w:multiLevelType w:val="hybridMultilevel"/>
    <w:tmpl w:val="F55ED874"/>
    <w:lvl w:ilvl="0" w:tplc="82E2AB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F3118B"/>
    <w:multiLevelType w:val="hybridMultilevel"/>
    <w:tmpl w:val="62D4F30E"/>
    <w:lvl w:ilvl="0" w:tplc="BC9AF80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AE443C8"/>
    <w:multiLevelType w:val="hybridMultilevel"/>
    <w:tmpl w:val="4672E8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
  </w:num>
  <w:num w:numId="4">
    <w:abstractNumId w:val="11"/>
  </w:num>
  <w:num w:numId="5">
    <w:abstractNumId w:val="3"/>
  </w:num>
  <w:num w:numId="6">
    <w:abstractNumId w:val="5"/>
  </w:num>
  <w:num w:numId="7">
    <w:abstractNumId w:val="12"/>
  </w:num>
  <w:num w:numId="8">
    <w:abstractNumId w:val="13"/>
  </w:num>
  <w:num w:numId="9">
    <w:abstractNumId w:val="6"/>
  </w:num>
  <w:num w:numId="10">
    <w:abstractNumId w:val="8"/>
  </w:num>
  <w:num w:numId="11">
    <w:abstractNumId w:val="9"/>
  </w:num>
  <w:num w:numId="12">
    <w:abstractNumId w:val="0"/>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0164E8"/>
    <w:rsid w:val="000164E8"/>
    <w:rsid w:val="00025BFC"/>
    <w:rsid w:val="00047CB8"/>
    <w:rsid w:val="000864E3"/>
    <w:rsid w:val="000A2083"/>
    <w:rsid w:val="000C1315"/>
    <w:rsid w:val="000C71C0"/>
    <w:rsid w:val="000C7459"/>
    <w:rsid w:val="000D0721"/>
    <w:rsid w:val="000F432A"/>
    <w:rsid w:val="000F60EE"/>
    <w:rsid w:val="00145B4B"/>
    <w:rsid w:val="0015693E"/>
    <w:rsid w:val="001A33DB"/>
    <w:rsid w:val="001B38D5"/>
    <w:rsid w:val="001B4409"/>
    <w:rsid w:val="001F0FEF"/>
    <w:rsid w:val="002038C8"/>
    <w:rsid w:val="002073F3"/>
    <w:rsid w:val="00214F14"/>
    <w:rsid w:val="0027505F"/>
    <w:rsid w:val="00286B46"/>
    <w:rsid w:val="0029089C"/>
    <w:rsid w:val="002C7815"/>
    <w:rsid w:val="002D0CF9"/>
    <w:rsid w:val="002F1BCF"/>
    <w:rsid w:val="003007D3"/>
    <w:rsid w:val="00303A58"/>
    <w:rsid w:val="0033019D"/>
    <w:rsid w:val="00335AEE"/>
    <w:rsid w:val="003D4A3E"/>
    <w:rsid w:val="003E1667"/>
    <w:rsid w:val="00417B12"/>
    <w:rsid w:val="0043246B"/>
    <w:rsid w:val="0043470E"/>
    <w:rsid w:val="00442C83"/>
    <w:rsid w:val="00464191"/>
    <w:rsid w:val="00491FB3"/>
    <w:rsid w:val="004C5B2B"/>
    <w:rsid w:val="004F2F3A"/>
    <w:rsid w:val="00501B94"/>
    <w:rsid w:val="00575553"/>
    <w:rsid w:val="005766FF"/>
    <w:rsid w:val="005C5861"/>
    <w:rsid w:val="005F7B7C"/>
    <w:rsid w:val="00600372"/>
    <w:rsid w:val="00613D3B"/>
    <w:rsid w:val="00657B42"/>
    <w:rsid w:val="006618DC"/>
    <w:rsid w:val="006B44E1"/>
    <w:rsid w:val="006C2AD6"/>
    <w:rsid w:val="00746F6A"/>
    <w:rsid w:val="0078075E"/>
    <w:rsid w:val="00790A24"/>
    <w:rsid w:val="00791F20"/>
    <w:rsid w:val="00791FE1"/>
    <w:rsid w:val="007A1FA8"/>
    <w:rsid w:val="007E09D4"/>
    <w:rsid w:val="00821474"/>
    <w:rsid w:val="00824641"/>
    <w:rsid w:val="0084303E"/>
    <w:rsid w:val="00851FE1"/>
    <w:rsid w:val="00861C3F"/>
    <w:rsid w:val="00863BAB"/>
    <w:rsid w:val="008649BC"/>
    <w:rsid w:val="008661D3"/>
    <w:rsid w:val="008A6628"/>
    <w:rsid w:val="008A6B08"/>
    <w:rsid w:val="008B3013"/>
    <w:rsid w:val="008C4672"/>
    <w:rsid w:val="008C4D11"/>
    <w:rsid w:val="009012FA"/>
    <w:rsid w:val="009604C1"/>
    <w:rsid w:val="009701FD"/>
    <w:rsid w:val="00973A31"/>
    <w:rsid w:val="00976442"/>
    <w:rsid w:val="00983FC0"/>
    <w:rsid w:val="009C1857"/>
    <w:rsid w:val="00A01840"/>
    <w:rsid w:val="00A06C79"/>
    <w:rsid w:val="00A16A45"/>
    <w:rsid w:val="00A349B3"/>
    <w:rsid w:val="00A404A7"/>
    <w:rsid w:val="00A60DC7"/>
    <w:rsid w:val="00A73FA8"/>
    <w:rsid w:val="00A97DB8"/>
    <w:rsid w:val="00AC7DF3"/>
    <w:rsid w:val="00AE2715"/>
    <w:rsid w:val="00B10070"/>
    <w:rsid w:val="00B46A37"/>
    <w:rsid w:val="00B94483"/>
    <w:rsid w:val="00CA1C12"/>
    <w:rsid w:val="00CC0458"/>
    <w:rsid w:val="00CF0514"/>
    <w:rsid w:val="00D014A7"/>
    <w:rsid w:val="00D0689E"/>
    <w:rsid w:val="00D3597D"/>
    <w:rsid w:val="00D40B83"/>
    <w:rsid w:val="00D54368"/>
    <w:rsid w:val="00D6113F"/>
    <w:rsid w:val="00D6472D"/>
    <w:rsid w:val="00DB74BF"/>
    <w:rsid w:val="00DC2859"/>
    <w:rsid w:val="00DE2E1E"/>
    <w:rsid w:val="00E30EB5"/>
    <w:rsid w:val="00E52F70"/>
    <w:rsid w:val="00E61FF2"/>
    <w:rsid w:val="00E75FAE"/>
    <w:rsid w:val="00E84BEA"/>
    <w:rsid w:val="00E91A8D"/>
    <w:rsid w:val="00EA2567"/>
    <w:rsid w:val="00EC3C98"/>
    <w:rsid w:val="00F57789"/>
    <w:rsid w:val="00FB330A"/>
    <w:rsid w:val="00FC4F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A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4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4E8"/>
  </w:style>
  <w:style w:type="paragraph" w:styleId="Stopka">
    <w:name w:val="footer"/>
    <w:basedOn w:val="Normalny"/>
    <w:link w:val="StopkaZnak"/>
    <w:uiPriority w:val="99"/>
    <w:unhideWhenUsed/>
    <w:rsid w:val="00016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4E8"/>
  </w:style>
  <w:style w:type="paragraph" w:styleId="Tekstdymka">
    <w:name w:val="Balloon Text"/>
    <w:basedOn w:val="Normalny"/>
    <w:link w:val="TekstdymkaZnak"/>
    <w:uiPriority w:val="99"/>
    <w:semiHidden/>
    <w:unhideWhenUsed/>
    <w:rsid w:val="00016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E8"/>
    <w:rPr>
      <w:rFonts w:ascii="Tahoma" w:hAnsi="Tahoma" w:cs="Tahoma"/>
      <w:sz w:val="16"/>
      <w:szCs w:val="16"/>
    </w:rPr>
  </w:style>
  <w:style w:type="table" w:styleId="Tabela-Siatka">
    <w:name w:val="Table Grid"/>
    <w:basedOn w:val="Standardowy"/>
    <w:uiPriority w:val="59"/>
    <w:rsid w:val="000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164E8"/>
    <w:pPr>
      <w:ind w:left="720"/>
      <w:contextualSpacing/>
    </w:pPr>
  </w:style>
  <w:style w:type="paragraph" w:styleId="Tekstpodstawowy">
    <w:name w:val="Body Text"/>
    <w:aliases w:val="Standard paragraph,wypunktowanie"/>
    <w:basedOn w:val="Normalny"/>
    <w:link w:val="TekstpodstawowyZnak"/>
    <w:rsid w:val="000164E8"/>
    <w:pPr>
      <w:spacing w:after="0" w:line="240" w:lineRule="auto"/>
      <w:jc w:val="both"/>
    </w:pPr>
    <w:rPr>
      <w:rFonts w:ascii="Times New Roman" w:eastAsia="Times New Roman" w:hAnsi="Times New Roman" w:cs="Times New Roman"/>
      <w:sz w:val="24"/>
      <w:szCs w:val="20"/>
      <w:lang w:val="ru-RU"/>
    </w:rPr>
  </w:style>
  <w:style w:type="character" w:customStyle="1" w:styleId="TekstpodstawowyZnak">
    <w:name w:val="Tekst podstawowy Znak"/>
    <w:aliases w:val="Standard paragraph Znak,wypunktowanie Znak"/>
    <w:basedOn w:val="Domylnaczcionkaakapitu"/>
    <w:link w:val="Tekstpodstawowy"/>
    <w:rsid w:val="000164E8"/>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335AEE"/>
    <w:pPr>
      <w:ind w:left="720"/>
      <w:contextualSpacing/>
    </w:pPr>
    <w:rPr>
      <w:rFonts w:ascii="Calibri" w:eastAsia="Times New Roman" w:hAnsi="Calibri" w:cs="Times New Roman"/>
      <w:lang w:val="ru-RU" w:eastAsia="ru-RU"/>
    </w:rPr>
  </w:style>
  <w:style w:type="paragraph" w:styleId="Poprawka">
    <w:name w:val="Revision"/>
    <w:hidden/>
    <w:uiPriority w:val="99"/>
    <w:semiHidden/>
    <w:rsid w:val="000C71C0"/>
    <w:pPr>
      <w:spacing w:after="0" w:line="240" w:lineRule="auto"/>
    </w:pPr>
  </w:style>
  <w:style w:type="paragraph" w:styleId="Zwykytekst">
    <w:name w:val="Plain Text"/>
    <w:basedOn w:val="Normalny"/>
    <w:link w:val="ZwykytekstZnak"/>
    <w:uiPriority w:val="99"/>
    <w:unhideWhenUsed/>
    <w:rsid w:val="002038C8"/>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038C8"/>
    <w:rPr>
      <w:rFonts w:ascii="Consolas" w:hAnsi="Consolas" w:cs="Consolas"/>
      <w:sz w:val="21"/>
      <w:szCs w:val="21"/>
    </w:rPr>
  </w:style>
  <w:style w:type="character" w:styleId="Hipercze">
    <w:name w:val="Hyperlink"/>
    <w:basedOn w:val="Domylnaczcionkaakapitu"/>
    <w:uiPriority w:val="99"/>
    <w:unhideWhenUsed/>
    <w:rsid w:val="00F57789"/>
    <w:rPr>
      <w:color w:val="0000FF" w:themeColor="hyperlink"/>
      <w:u w:val="single"/>
    </w:rPr>
  </w:style>
  <w:style w:type="character" w:styleId="Odwoaniedokomentarza">
    <w:name w:val="annotation reference"/>
    <w:basedOn w:val="Domylnaczcionkaakapitu"/>
    <w:uiPriority w:val="99"/>
    <w:semiHidden/>
    <w:unhideWhenUsed/>
    <w:rsid w:val="001A33DB"/>
    <w:rPr>
      <w:sz w:val="16"/>
      <w:szCs w:val="16"/>
    </w:rPr>
  </w:style>
  <w:style w:type="paragraph" w:styleId="Tekstkomentarza">
    <w:name w:val="annotation text"/>
    <w:basedOn w:val="Normalny"/>
    <w:link w:val="TekstkomentarzaZnak"/>
    <w:uiPriority w:val="99"/>
    <w:semiHidden/>
    <w:unhideWhenUsed/>
    <w:rsid w:val="001A33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33DB"/>
    <w:rPr>
      <w:sz w:val="20"/>
      <w:szCs w:val="20"/>
    </w:rPr>
  </w:style>
  <w:style w:type="paragraph" w:styleId="Tematkomentarza">
    <w:name w:val="annotation subject"/>
    <w:basedOn w:val="Tekstkomentarza"/>
    <w:next w:val="Tekstkomentarza"/>
    <w:link w:val="TematkomentarzaZnak"/>
    <w:uiPriority w:val="99"/>
    <w:semiHidden/>
    <w:unhideWhenUsed/>
    <w:rsid w:val="006618DC"/>
    <w:rPr>
      <w:b/>
      <w:bCs/>
    </w:rPr>
  </w:style>
  <w:style w:type="character" w:customStyle="1" w:styleId="TematkomentarzaZnak">
    <w:name w:val="Temat komentarza Znak"/>
    <w:basedOn w:val="TekstkomentarzaZnak"/>
    <w:link w:val="Tematkomentarza"/>
    <w:uiPriority w:val="99"/>
    <w:semiHidden/>
    <w:rsid w:val="006618DC"/>
    <w:rPr>
      <w:b/>
      <w:bCs/>
      <w:sz w:val="20"/>
      <w:szCs w:val="20"/>
    </w:rPr>
  </w:style>
  <w:style w:type="character" w:styleId="UyteHipercze">
    <w:name w:val="FollowedHyperlink"/>
    <w:basedOn w:val="Domylnaczcionkaakapitu"/>
    <w:uiPriority w:val="99"/>
    <w:semiHidden/>
    <w:unhideWhenUsed/>
    <w:rsid w:val="008C4D11"/>
    <w:rPr>
      <w:color w:val="800080" w:themeColor="followedHyperlink"/>
      <w:u w:val="single"/>
    </w:rPr>
  </w:style>
  <w:style w:type="paragraph" w:styleId="NormalnyWeb">
    <w:name w:val="Normal (Web)"/>
    <w:basedOn w:val="Normalny"/>
    <w:uiPriority w:val="99"/>
    <w:unhideWhenUsed/>
    <w:rsid w:val="009604C1"/>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4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4E8"/>
  </w:style>
  <w:style w:type="paragraph" w:styleId="Stopka">
    <w:name w:val="footer"/>
    <w:basedOn w:val="Normalny"/>
    <w:link w:val="StopkaZnak"/>
    <w:uiPriority w:val="99"/>
    <w:unhideWhenUsed/>
    <w:rsid w:val="00016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4E8"/>
  </w:style>
  <w:style w:type="paragraph" w:styleId="Tekstdymka">
    <w:name w:val="Balloon Text"/>
    <w:basedOn w:val="Normalny"/>
    <w:link w:val="TekstdymkaZnak"/>
    <w:uiPriority w:val="99"/>
    <w:semiHidden/>
    <w:unhideWhenUsed/>
    <w:rsid w:val="00016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E8"/>
    <w:rPr>
      <w:rFonts w:ascii="Tahoma" w:hAnsi="Tahoma" w:cs="Tahoma"/>
      <w:sz w:val="16"/>
      <w:szCs w:val="16"/>
    </w:rPr>
  </w:style>
  <w:style w:type="table" w:styleId="Tabela-Siatka">
    <w:name w:val="Table Grid"/>
    <w:basedOn w:val="Standardowy"/>
    <w:uiPriority w:val="59"/>
    <w:rsid w:val="0001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64E8"/>
    <w:pPr>
      <w:ind w:left="720"/>
      <w:contextualSpacing/>
    </w:pPr>
  </w:style>
  <w:style w:type="paragraph" w:styleId="Tekstpodstawowy">
    <w:name w:val="Body Text"/>
    <w:aliases w:val="Standard paragraph,wypunktowanie"/>
    <w:basedOn w:val="Normalny"/>
    <w:link w:val="TekstpodstawowyZnak"/>
    <w:rsid w:val="000164E8"/>
    <w:pPr>
      <w:spacing w:after="0" w:line="240" w:lineRule="auto"/>
      <w:jc w:val="both"/>
    </w:pPr>
    <w:rPr>
      <w:rFonts w:ascii="Times New Roman" w:eastAsia="Times New Roman" w:hAnsi="Times New Roman" w:cs="Times New Roman"/>
      <w:sz w:val="24"/>
      <w:szCs w:val="20"/>
      <w:lang w:val="ru-RU"/>
    </w:rPr>
  </w:style>
  <w:style w:type="character" w:customStyle="1" w:styleId="TekstpodstawowyZnak">
    <w:name w:val="Tekst podstawowy Znak"/>
    <w:aliases w:val="Standard paragraph Znak,wypunktowanie Znak"/>
    <w:basedOn w:val="Domylnaczcionkaakapitu"/>
    <w:link w:val="Tekstpodstawowy"/>
    <w:rsid w:val="000164E8"/>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335AEE"/>
    <w:pPr>
      <w:ind w:left="720"/>
      <w:contextualSpacing/>
    </w:pPr>
    <w:rPr>
      <w:rFonts w:ascii="Calibri" w:eastAsia="Times New Roman" w:hAnsi="Calibri" w:cs="Times New Roman"/>
      <w:lang w:val="ru-RU" w:eastAsia="ru-RU"/>
    </w:rPr>
  </w:style>
  <w:style w:type="paragraph" w:styleId="Poprawka">
    <w:name w:val="Revision"/>
    <w:hidden/>
    <w:uiPriority w:val="99"/>
    <w:semiHidden/>
    <w:rsid w:val="000C71C0"/>
    <w:pPr>
      <w:spacing w:after="0" w:line="240" w:lineRule="auto"/>
    </w:pPr>
  </w:style>
  <w:style w:type="paragraph" w:styleId="Zwykytekst">
    <w:name w:val="Plain Text"/>
    <w:basedOn w:val="Normalny"/>
    <w:link w:val="ZwykytekstZnak"/>
    <w:uiPriority w:val="99"/>
    <w:unhideWhenUsed/>
    <w:rsid w:val="002038C8"/>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038C8"/>
    <w:rPr>
      <w:rFonts w:ascii="Consolas" w:hAnsi="Consolas" w:cs="Consolas"/>
      <w:sz w:val="21"/>
      <w:szCs w:val="21"/>
    </w:rPr>
  </w:style>
  <w:style w:type="character" w:styleId="Hipercze">
    <w:name w:val="Hyperlink"/>
    <w:basedOn w:val="Domylnaczcionkaakapitu"/>
    <w:uiPriority w:val="99"/>
    <w:unhideWhenUsed/>
    <w:rsid w:val="00F57789"/>
    <w:rPr>
      <w:color w:val="0000FF" w:themeColor="hyperlink"/>
      <w:u w:val="single"/>
    </w:rPr>
  </w:style>
  <w:style w:type="character" w:styleId="Odwoaniedokomentarza">
    <w:name w:val="annotation reference"/>
    <w:basedOn w:val="Domylnaczcionkaakapitu"/>
    <w:uiPriority w:val="99"/>
    <w:semiHidden/>
    <w:unhideWhenUsed/>
    <w:rsid w:val="001A33DB"/>
    <w:rPr>
      <w:sz w:val="16"/>
      <w:szCs w:val="16"/>
    </w:rPr>
  </w:style>
  <w:style w:type="paragraph" w:styleId="Tekstkomentarza">
    <w:name w:val="annotation text"/>
    <w:basedOn w:val="Normalny"/>
    <w:link w:val="TekstkomentarzaZnak"/>
    <w:uiPriority w:val="99"/>
    <w:semiHidden/>
    <w:unhideWhenUsed/>
    <w:rsid w:val="001A33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33DB"/>
    <w:rPr>
      <w:sz w:val="20"/>
      <w:szCs w:val="20"/>
    </w:rPr>
  </w:style>
  <w:style w:type="paragraph" w:styleId="Tematkomentarza">
    <w:name w:val="annotation subject"/>
    <w:basedOn w:val="Tekstkomentarza"/>
    <w:next w:val="Tekstkomentarza"/>
    <w:link w:val="TematkomentarzaZnak"/>
    <w:uiPriority w:val="99"/>
    <w:semiHidden/>
    <w:unhideWhenUsed/>
    <w:rsid w:val="006618DC"/>
    <w:rPr>
      <w:b/>
      <w:bCs/>
    </w:rPr>
  </w:style>
  <w:style w:type="character" w:customStyle="1" w:styleId="TematkomentarzaZnak">
    <w:name w:val="Temat komentarza Znak"/>
    <w:basedOn w:val="TekstkomentarzaZnak"/>
    <w:link w:val="Tematkomentarza"/>
    <w:uiPriority w:val="99"/>
    <w:semiHidden/>
    <w:rsid w:val="006618DC"/>
    <w:rPr>
      <w:b/>
      <w:bCs/>
      <w:sz w:val="20"/>
      <w:szCs w:val="20"/>
    </w:rPr>
  </w:style>
  <w:style w:type="character" w:styleId="UyteHipercze">
    <w:name w:val="FollowedHyperlink"/>
    <w:basedOn w:val="Domylnaczcionkaakapitu"/>
    <w:uiPriority w:val="99"/>
    <w:semiHidden/>
    <w:unhideWhenUsed/>
    <w:rsid w:val="008C4D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005371">
      <w:bodyDiv w:val="1"/>
      <w:marLeft w:val="0"/>
      <w:marRight w:val="0"/>
      <w:marTop w:val="0"/>
      <w:marBottom w:val="0"/>
      <w:divBdr>
        <w:top w:val="none" w:sz="0" w:space="0" w:color="auto"/>
        <w:left w:val="none" w:sz="0" w:space="0" w:color="auto"/>
        <w:bottom w:val="none" w:sz="0" w:space="0" w:color="auto"/>
        <w:right w:val="none" w:sz="0" w:space="0" w:color="auto"/>
      </w:divBdr>
      <w:divsChild>
        <w:div w:id="1009868227">
          <w:marLeft w:val="0"/>
          <w:marRight w:val="0"/>
          <w:marTop w:val="0"/>
          <w:marBottom w:val="0"/>
          <w:divBdr>
            <w:top w:val="none" w:sz="0" w:space="0" w:color="auto"/>
            <w:left w:val="none" w:sz="0" w:space="0" w:color="auto"/>
            <w:bottom w:val="none" w:sz="0" w:space="0" w:color="auto"/>
            <w:right w:val="none" w:sz="0" w:space="0" w:color="auto"/>
          </w:divBdr>
        </w:div>
        <w:div w:id="729034903">
          <w:marLeft w:val="0"/>
          <w:marRight w:val="0"/>
          <w:marTop w:val="0"/>
          <w:marBottom w:val="0"/>
          <w:divBdr>
            <w:top w:val="none" w:sz="0" w:space="0" w:color="auto"/>
            <w:left w:val="none" w:sz="0" w:space="0" w:color="auto"/>
            <w:bottom w:val="none" w:sz="0" w:space="0" w:color="auto"/>
            <w:right w:val="none" w:sz="0" w:space="0" w:color="auto"/>
          </w:divBdr>
        </w:div>
        <w:div w:id="533620842">
          <w:marLeft w:val="0"/>
          <w:marRight w:val="0"/>
          <w:marTop w:val="0"/>
          <w:marBottom w:val="0"/>
          <w:divBdr>
            <w:top w:val="none" w:sz="0" w:space="0" w:color="auto"/>
            <w:left w:val="none" w:sz="0" w:space="0" w:color="auto"/>
            <w:bottom w:val="none" w:sz="0" w:space="0" w:color="auto"/>
            <w:right w:val="none" w:sz="0" w:space="0" w:color="auto"/>
          </w:divBdr>
        </w:div>
        <w:div w:id="1191450800">
          <w:marLeft w:val="0"/>
          <w:marRight w:val="0"/>
          <w:marTop w:val="0"/>
          <w:marBottom w:val="0"/>
          <w:divBdr>
            <w:top w:val="none" w:sz="0" w:space="0" w:color="auto"/>
            <w:left w:val="none" w:sz="0" w:space="0" w:color="auto"/>
            <w:bottom w:val="none" w:sz="0" w:space="0" w:color="auto"/>
            <w:right w:val="none" w:sz="0" w:space="0" w:color="auto"/>
          </w:divBdr>
        </w:div>
        <w:div w:id="651763572">
          <w:marLeft w:val="0"/>
          <w:marRight w:val="0"/>
          <w:marTop w:val="0"/>
          <w:marBottom w:val="0"/>
          <w:divBdr>
            <w:top w:val="none" w:sz="0" w:space="0" w:color="auto"/>
            <w:left w:val="none" w:sz="0" w:space="0" w:color="auto"/>
            <w:bottom w:val="none" w:sz="0" w:space="0" w:color="auto"/>
            <w:right w:val="none" w:sz="0" w:space="0" w:color="auto"/>
          </w:divBdr>
        </w:div>
        <w:div w:id="771975073">
          <w:marLeft w:val="0"/>
          <w:marRight w:val="0"/>
          <w:marTop w:val="0"/>
          <w:marBottom w:val="0"/>
          <w:divBdr>
            <w:top w:val="none" w:sz="0" w:space="0" w:color="auto"/>
            <w:left w:val="none" w:sz="0" w:space="0" w:color="auto"/>
            <w:bottom w:val="none" w:sz="0" w:space="0" w:color="auto"/>
            <w:right w:val="none" w:sz="0" w:space="0" w:color="auto"/>
          </w:divBdr>
        </w:div>
        <w:div w:id="838615272">
          <w:marLeft w:val="0"/>
          <w:marRight w:val="0"/>
          <w:marTop w:val="0"/>
          <w:marBottom w:val="0"/>
          <w:divBdr>
            <w:top w:val="none" w:sz="0" w:space="0" w:color="auto"/>
            <w:left w:val="none" w:sz="0" w:space="0" w:color="auto"/>
            <w:bottom w:val="none" w:sz="0" w:space="0" w:color="auto"/>
            <w:right w:val="none" w:sz="0" w:space="0" w:color="auto"/>
          </w:divBdr>
        </w:div>
      </w:divsChild>
    </w:div>
    <w:div w:id="19912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2376</Words>
  <Characters>14256</Characters>
  <Application>Microsoft Office Word</Application>
  <DocSecurity>0</DocSecurity>
  <Lines>118</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CPE</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katarzyna_bartnik</dc:creator>
  <cp:lastModifiedBy>Katarzyna Wantoch-Rekowska</cp:lastModifiedBy>
  <cp:revision>40</cp:revision>
  <cp:lastPrinted>2017-07-07T12:35:00Z</cp:lastPrinted>
  <dcterms:created xsi:type="dcterms:W3CDTF">2018-05-25T09:12:00Z</dcterms:created>
  <dcterms:modified xsi:type="dcterms:W3CDTF">2018-06-14T09:38:00Z</dcterms:modified>
</cp:coreProperties>
</file>